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03D4968F"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A667C2">
        <w:rPr>
          <w:rFonts w:eastAsia="Times New Roman"/>
          <w:bCs/>
          <w:sz w:val="24"/>
          <w:szCs w:val="24"/>
          <w:lang w:eastAsia="ja-JP"/>
        </w:rPr>
        <w:t>9e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B026A4" w:rsidRPr="00B026A4">
        <w:rPr>
          <w:rFonts w:eastAsia="Times New Roman"/>
          <w:bCs/>
          <w:sz w:val="24"/>
          <w:szCs w:val="24"/>
          <w:lang w:eastAsia="ja-JP"/>
        </w:rPr>
        <w:t>R2-2208477</w:t>
      </w:r>
    </w:p>
    <w:p w14:paraId="4CB31B84" w14:textId="7F69D7AA" w:rsidR="00E51E9F" w:rsidRPr="00EA23A6" w:rsidRDefault="00EA23A6" w:rsidP="00D7765D">
      <w:pPr>
        <w:pStyle w:val="3GPPHeader"/>
        <w:spacing w:after="0"/>
        <w:rPr>
          <w:rFonts w:ascii="Arial" w:eastAsia="MS Mincho" w:hAnsi="Arial"/>
          <w:bCs/>
          <w:noProof/>
          <w:szCs w:val="24"/>
          <w:lang w:eastAsia="ja-JP"/>
        </w:rPr>
      </w:pPr>
      <w:r w:rsidRPr="00C31191">
        <w:rPr>
          <w:rFonts w:ascii="Arial" w:eastAsia="Times New Roman" w:hAnsi="Arial"/>
          <w:bCs/>
          <w:noProof/>
          <w:szCs w:val="24"/>
          <w:lang w:eastAsia="ja-JP"/>
        </w:rPr>
        <w:t xml:space="preserve">eMeeting, </w:t>
      </w:r>
      <w:r>
        <w:rPr>
          <w:rFonts w:ascii="Arial" w:eastAsia="Times New Roman" w:hAnsi="Arial"/>
          <w:bCs/>
          <w:noProof/>
          <w:szCs w:val="24"/>
          <w:lang w:eastAsia="ja-JP"/>
        </w:rPr>
        <w:t>17</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26</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August</w:t>
      </w:r>
      <w:r w:rsidRPr="00C31191">
        <w:rPr>
          <w:rFonts w:ascii="Arial" w:eastAsia="Times New Roman" w:hAnsi="Arial"/>
          <w:bCs/>
          <w:noProof/>
          <w:szCs w:val="24"/>
          <w:lang w:eastAsia="ja-JP"/>
        </w:rPr>
        <w:t>, 2022</w:t>
      </w:r>
    </w:p>
    <w:p w14:paraId="632AC43C" w14:textId="77777777" w:rsidR="00FA2EE3" w:rsidRPr="003158DE" w:rsidRDefault="00FA2EE3" w:rsidP="00D7765D">
      <w:pPr>
        <w:pStyle w:val="3GPPHeader"/>
        <w:spacing w:after="0"/>
        <w:rPr>
          <w:rFonts w:ascii="Arial" w:hAnsi="Arial" w:cs="Arial"/>
          <w:szCs w:val="24"/>
        </w:rPr>
      </w:pPr>
    </w:p>
    <w:p w14:paraId="782CEDA7" w14:textId="2C13F8A7"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E6161C">
        <w:rPr>
          <w:rFonts w:ascii="Arial" w:hAnsi="Arial" w:cs="Arial"/>
          <w:szCs w:val="24"/>
          <w:lang w:val="sv-SE"/>
        </w:rPr>
        <w:t>8.4.</w:t>
      </w:r>
      <w:r w:rsidR="00214D35">
        <w:rPr>
          <w:rFonts w:ascii="Arial" w:hAnsi="Arial" w:cs="Arial"/>
          <w:szCs w:val="24"/>
          <w:lang w:val="sv-SE"/>
        </w:rPr>
        <w:t>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4374899"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D3C85">
        <w:rPr>
          <w:b/>
          <w:sz w:val="24"/>
        </w:rPr>
        <w:t xml:space="preserve">Discussion </w:t>
      </w:r>
      <w:r w:rsidR="00FB75EC">
        <w:rPr>
          <w:b/>
          <w:sz w:val="24"/>
        </w:rPr>
        <w:t>on selective activation of CG</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FA8E8BD" w:rsidR="008135C8" w:rsidRDefault="001D3C85" w:rsidP="008135C8">
      <w:pPr>
        <w:pStyle w:val="Doc-text2"/>
        <w:tabs>
          <w:tab w:val="left" w:pos="340"/>
        </w:tabs>
        <w:ind w:left="0" w:firstLine="0"/>
        <w:jc w:val="both"/>
      </w:pPr>
      <w:r>
        <w:t>In this contribution, we discuss</w:t>
      </w:r>
      <w:r w:rsidR="00FB75EC">
        <w:t xml:space="preserve"> </w:t>
      </w:r>
      <w:r w:rsidR="00267264">
        <w:t xml:space="preserve">the following </w:t>
      </w:r>
      <w:r>
        <w:t>objective #</w:t>
      </w:r>
      <w:r w:rsidR="00FB75EC">
        <w:t>2</w:t>
      </w:r>
      <w:r>
        <w:t xml:space="preserve"> from mobility enhancement work item [1].</w:t>
      </w:r>
    </w:p>
    <w:p w14:paraId="466061D3" w14:textId="1957A18D" w:rsidR="00E6161C" w:rsidRDefault="00E6161C" w:rsidP="008135C8">
      <w:pPr>
        <w:pStyle w:val="Doc-text2"/>
        <w:tabs>
          <w:tab w:val="left" w:pos="340"/>
        </w:tabs>
        <w:ind w:left="0" w:firstLine="0"/>
        <w:jc w:val="both"/>
      </w:pPr>
    </w:p>
    <w:p w14:paraId="3296F192" w14:textId="77777777" w:rsidR="00097FAD" w:rsidRDefault="00097FAD" w:rsidP="00097FAD">
      <w:pPr>
        <w:numPr>
          <w:ilvl w:val="0"/>
          <w:numId w:val="6"/>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w:t>
      </w:r>
      <w:r w:rsidRPr="00C23EE7">
        <w:rPr>
          <w:bCs/>
          <w:highlight w:val="yellow"/>
          <w:lang w:val="en-US"/>
        </w:rPr>
        <w:t>at least for SCG</w:t>
      </w:r>
      <w:r>
        <w:rPr>
          <w:bCs/>
          <w:lang w:val="en-US"/>
        </w:rPr>
        <w:t>) via L3 enhancements:</w:t>
      </w:r>
    </w:p>
    <w:p w14:paraId="63BE434E" w14:textId="77777777" w:rsidR="00097FAD" w:rsidRDefault="00097FAD" w:rsidP="00097FAD">
      <w:pPr>
        <w:numPr>
          <w:ilvl w:val="0"/>
          <w:numId w:val="7"/>
        </w:numPr>
        <w:overflowPunct w:val="0"/>
        <w:autoSpaceDE w:val="0"/>
        <w:autoSpaceDN w:val="0"/>
        <w:adjustRightInd w:val="0"/>
        <w:spacing w:after="0"/>
        <w:jc w:val="both"/>
        <w:textAlignment w:val="baseline"/>
        <w:rPr>
          <w:bCs/>
          <w:lang w:val="en-US"/>
        </w:rPr>
      </w:pPr>
      <w:r>
        <w:rPr>
          <w:bCs/>
          <w:lang w:val="en-US"/>
        </w:rPr>
        <w:t xml:space="preserve">To allow </w:t>
      </w:r>
      <w:r w:rsidRPr="00267264">
        <w:rPr>
          <w:bCs/>
          <w:highlight w:val="yellow"/>
          <w:lang w:val="en-US"/>
        </w:rPr>
        <w:t xml:space="preserve">subsequent cell group </w:t>
      </w:r>
      <w:proofErr w:type="gramStart"/>
      <w:r w:rsidRPr="00267264">
        <w:rPr>
          <w:bCs/>
          <w:highlight w:val="yellow"/>
          <w:lang w:val="en-US"/>
        </w:rPr>
        <w:t>change</w:t>
      </w:r>
      <w:proofErr w:type="gramEnd"/>
      <w:r w:rsidRPr="00267264">
        <w:rPr>
          <w:bCs/>
          <w:highlight w:val="yellow"/>
          <w:lang w:val="en-US"/>
        </w:rPr>
        <w:t xml:space="preserve"> after changing CG</w:t>
      </w:r>
      <w:r>
        <w:rPr>
          <w:bCs/>
          <w:lang w:val="en-US"/>
        </w:rPr>
        <w:t xml:space="preserve"> without reconfiguration and re-initiation of CPC/CPA [RAN2, RAN3, RAN4]</w:t>
      </w:r>
    </w:p>
    <w:p w14:paraId="1528FC4D" w14:textId="77777777" w:rsidR="00097FAD" w:rsidRPr="00F736B4" w:rsidRDefault="00097FAD" w:rsidP="00097FAD">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39A6078A" w14:textId="77777777" w:rsidR="00E6161C" w:rsidRDefault="00E6161C" w:rsidP="008135C8">
      <w:pPr>
        <w:pStyle w:val="Doc-text2"/>
        <w:tabs>
          <w:tab w:val="left" w:pos="340"/>
        </w:tabs>
        <w:ind w:left="0" w:firstLine="0"/>
        <w:jc w:val="both"/>
      </w:pPr>
    </w:p>
    <w:p w14:paraId="643CACD7" w14:textId="6BD6893B" w:rsidR="00F81F1D" w:rsidRDefault="00F35A13" w:rsidP="008135C8">
      <w:pPr>
        <w:pStyle w:val="Doc-text2"/>
        <w:tabs>
          <w:tab w:val="left" w:pos="340"/>
        </w:tabs>
        <w:ind w:left="0" w:firstLine="0"/>
        <w:jc w:val="both"/>
      </w:pPr>
      <w:r>
        <w:t>W</w:t>
      </w:r>
      <w:r w:rsidR="00B34071">
        <w:t>e would</w:t>
      </w:r>
      <w:r w:rsidR="009034F8">
        <w:t xml:space="preserve"> like to discuss the supporting scenario for this selective activation </w:t>
      </w:r>
      <w:r w:rsidR="00215D11">
        <w:t>procedure</w:t>
      </w:r>
      <w:r w:rsidR="009034F8">
        <w:t xml:space="preserve"> and try to establish some common RAN2 understanding on this objective. </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BD57D80" w14:textId="137B39D0" w:rsidR="00275359" w:rsidRPr="00B94288" w:rsidRDefault="00275359" w:rsidP="00275359">
      <w:pPr>
        <w:pStyle w:val="Heading2"/>
        <w:rPr>
          <w:lang w:val="en-US" w:eastAsia="ko-KR"/>
        </w:rPr>
      </w:pPr>
      <w:r>
        <w:rPr>
          <w:lang w:val="en-US" w:eastAsia="ko-KR"/>
        </w:rPr>
        <w:t xml:space="preserve">2.1 </w:t>
      </w:r>
      <w:r w:rsidR="00C23EE7">
        <w:rPr>
          <w:lang w:val="en-US" w:eastAsia="ko-KR"/>
        </w:rPr>
        <w:t xml:space="preserve">Supporting scenario for </w:t>
      </w:r>
      <w:r w:rsidR="00610E59">
        <w:rPr>
          <w:bCs/>
          <w:lang w:val="en-US"/>
        </w:rPr>
        <w:t>selective activation</w:t>
      </w:r>
    </w:p>
    <w:p w14:paraId="2131ABC0" w14:textId="48318BE8" w:rsidR="002F6D58" w:rsidRDefault="00934310" w:rsidP="009D4C77">
      <w:pPr>
        <w:pStyle w:val="Doc-text2"/>
        <w:tabs>
          <w:tab w:val="left" w:pos="340"/>
        </w:tabs>
        <w:ind w:left="0" w:firstLine="0"/>
        <w:jc w:val="both"/>
        <w:rPr>
          <w:rFonts w:eastAsiaTheme="minorEastAsia" w:cs="Arial"/>
          <w:bCs/>
        </w:rPr>
      </w:pPr>
      <w:r>
        <w:rPr>
          <w:rFonts w:eastAsiaTheme="minorEastAsia" w:cs="Arial"/>
          <w:bCs/>
        </w:rPr>
        <w:t xml:space="preserve">According to the </w:t>
      </w:r>
      <w:r w:rsidR="00D123E9">
        <w:rPr>
          <w:rFonts w:eastAsiaTheme="minorEastAsia" w:cs="Arial"/>
          <w:bCs/>
        </w:rPr>
        <w:t>WID</w:t>
      </w:r>
      <w:r>
        <w:rPr>
          <w:rFonts w:eastAsiaTheme="minorEastAsia" w:cs="Arial"/>
          <w:bCs/>
        </w:rPr>
        <w:t xml:space="preserve"> description,</w:t>
      </w:r>
      <w:r w:rsidR="00131526">
        <w:rPr>
          <w:rFonts w:eastAsiaTheme="minorEastAsia" w:cs="Arial"/>
          <w:bCs/>
        </w:rPr>
        <w:t xml:space="preserve"> R18 mobility enhancement</w:t>
      </w:r>
      <w:r w:rsidR="009D4C77">
        <w:rPr>
          <w:rFonts w:eastAsiaTheme="minorEastAsia" w:cs="Arial"/>
          <w:bCs/>
        </w:rPr>
        <w:t xml:space="preserve"> target to support selective activation of CG at least for SCG. We understand that the motivation of this objective comes </w:t>
      </w:r>
      <w:r w:rsidR="00310A51">
        <w:rPr>
          <w:rFonts w:eastAsiaTheme="minorEastAsia" w:cs="Arial"/>
          <w:bCs/>
        </w:rPr>
        <w:t>from</w:t>
      </w:r>
      <w:r w:rsidR="009D4C77">
        <w:rPr>
          <w:rFonts w:eastAsiaTheme="minorEastAsia" w:cs="Arial"/>
          <w:bCs/>
        </w:rPr>
        <w:t xml:space="preserve"> the frequent change of SCG (especially </w:t>
      </w:r>
      <w:r w:rsidR="00D123E9">
        <w:rPr>
          <w:rFonts w:eastAsiaTheme="minorEastAsia" w:cs="Arial"/>
          <w:bCs/>
        </w:rPr>
        <w:t>on</w:t>
      </w:r>
      <w:r w:rsidR="009D4C77">
        <w:rPr>
          <w:rFonts w:eastAsiaTheme="minorEastAsia" w:cs="Arial"/>
          <w:bCs/>
        </w:rPr>
        <w:t xml:space="preserve"> FR2). </w:t>
      </w:r>
      <w:r w:rsidR="00EE2992">
        <w:rPr>
          <w:rFonts w:eastAsiaTheme="minorEastAsia" w:cs="Arial"/>
          <w:bCs/>
        </w:rPr>
        <w:t xml:space="preserve">By allowing subsequent SCG change, it can reduce signalling overhead and potentially reduced interruption time for SCG change. On other hand, the </w:t>
      </w:r>
      <w:r w:rsidR="007A18CD">
        <w:rPr>
          <w:rFonts w:eastAsiaTheme="minorEastAsia" w:cs="Arial"/>
          <w:bCs/>
        </w:rPr>
        <w:t>motivation</w:t>
      </w:r>
      <w:r w:rsidR="00EE2992">
        <w:rPr>
          <w:rFonts w:eastAsiaTheme="minorEastAsia" w:cs="Arial"/>
          <w:bCs/>
        </w:rPr>
        <w:t xml:space="preserve"> </w:t>
      </w:r>
      <w:r w:rsidR="001F58D0">
        <w:rPr>
          <w:rFonts w:eastAsiaTheme="minorEastAsia" w:cs="Arial"/>
          <w:bCs/>
        </w:rPr>
        <w:t>of</w:t>
      </w:r>
      <w:r w:rsidR="00EE2992">
        <w:rPr>
          <w:rFonts w:eastAsiaTheme="minorEastAsia" w:cs="Arial"/>
          <w:bCs/>
        </w:rPr>
        <w:t xml:space="preserve"> selective CG activation </w:t>
      </w:r>
      <w:r w:rsidR="005B3BAB">
        <w:rPr>
          <w:rFonts w:eastAsiaTheme="minorEastAsia" w:cs="Arial"/>
          <w:bCs/>
        </w:rPr>
        <w:t>for</w:t>
      </w:r>
      <w:r w:rsidR="00EE2992">
        <w:rPr>
          <w:rFonts w:eastAsiaTheme="minorEastAsia" w:cs="Arial"/>
          <w:bCs/>
        </w:rPr>
        <w:t xml:space="preserve"> MCG is not clear to us. </w:t>
      </w:r>
      <w:r w:rsidR="007A18CD">
        <w:rPr>
          <w:rFonts w:eastAsiaTheme="minorEastAsia" w:cs="Arial"/>
          <w:bCs/>
        </w:rPr>
        <w:t>T</w:t>
      </w:r>
      <w:r w:rsidR="00EE2992">
        <w:rPr>
          <w:rFonts w:eastAsiaTheme="minorEastAsia" w:cs="Arial"/>
          <w:bCs/>
        </w:rPr>
        <w:t xml:space="preserve">he </w:t>
      </w:r>
      <w:r w:rsidR="005B3BAB">
        <w:rPr>
          <w:rFonts w:eastAsiaTheme="minorEastAsia" w:cs="Arial"/>
          <w:bCs/>
        </w:rPr>
        <w:t xml:space="preserve">design for MCG could be more complicate as </w:t>
      </w:r>
      <w:r w:rsidR="004D56B7">
        <w:rPr>
          <w:rFonts w:eastAsiaTheme="minorEastAsia" w:cs="Arial"/>
          <w:bCs/>
        </w:rPr>
        <w:t>now there is no anchor communication with networ</w:t>
      </w:r>
      <w:r w:rsidR="0057033F">
        <w:rPr>
          <w:rFonts w:eastAsiaTheme="minorEastAsia" w:cs="Arial"/>
          <w:bCs/>
        </w:rPr>
        <w:t xml:space="preserve">k during MCG change. </w:t>
      </w:r>
      <w:r w:rsidR="00D123E9">
        <w:rPr>
          <w:rFonts w:eastAsiaTheme="minorEastAsia" w:cs="Arial"/>
          <w:bCs/>
        </w:rPr>
        <w:t xml:space="preserve">Our preference is to discuss </w:t>
      </w:r>
      <w:r w:rsidR="00131526">
        <w:rPr>
          <w:rFonts w:eastAsiaTheme="minorEastAsia" w:cs="Arial"/>
          <w:bCs/>
        </w:rPr>
        <w:t>the procedure for supporting SCG selective CG activation first and MCG part could be discussed if there is additional time.</w:t>
      </w:r>
    </w:p>
    <w:p w14:paraId="460EE73D" w14:textId="6F3C2CF5" w:rsidR="00AB0D17" w:rsidRDefault="00AB0D17" w:rsidP="00EF20EF">
      <w:pPr>
        <w:pStyle w:val="Doc-text2"/>
        <w:tabs>
          <w:tab w:val="left" w:pos="340"/>
        </w:tabs>
        <w:ind w:left="0" w:firstLine="0"/>
        <w:jc w:val="both"/>
        <w:rPr>
          <w:rFonts w:eastAsiaTheme="minorEastAsia"/>
        </w:rPr>
      </w:pPr>
    </w:p>
    <w:p w14:paraId="27D9F200" w14:textId="3B863DF3" w:rsidR="00610E59" w:rsidRPr="008A29F1" w:rsidRDefault="00610E59" w:rsidP="00610E59">
      <w:pPr>
        <w:pStyle w:val="Doc-text2"/>
        <w:tabs>
          <w:tab w:val="left" w:pos="340"/>
        </w:tabs>
        <w:ind w:left="0" w:firstLine="0"/>
        <w:jc w:val="both"/>
        <w:rPr>
          <w:rFonts w:cs="Arial"/>
          <w:b/>
        </w:rPr>
      </w:pPr>
      <w:r w:rsidRPr="008A29F1">
        <w:rPr>
          <w:rFonts w:cs="Arial"/>
          <w:b/>
        </w:rPr>
        <w:t xml:space="preserve">Proposal </w:t>
      </w:r>
      <w:r>
        <w:rPr>
          <w:rFonts w:cs="Arial"/>
          <w:b/>
        </w:rPr>
        <w:t>1</w:t>
      </w:r>
      <w:r w:rsidRPr="008A29F1">
        <w:rPr>
          <w:rFonts w:cs="Arial"/>
          <w:b/>
        </w:rPr>
        <w:t xml:space="preserve">: </w:t>
      </w:r>
      <w:r>
        <w:rPr>
          <w:rFonts w:cs="Arial"/>
          <w:b/>
        </w:rPr>
        <w:t>For</w:t>
      </w:r>
      <w:r w:rsidRPr="008A29F1">
        <w:rPr>
          <w:rFonts w:cs="Arial"/>
          <w:b/>
        </w:rPr>
        <w:t xml:space="preserve"> obj#</w:t>
      </w:r>
      <w:r>
        <w:rPr>
          <w:rFonts w:cs="Arial"/>
          <w:b/>
        </w:rPr>
        <w:t>2</w:t>
      </w:r>
      <w:r w:rsidR="00FF6276">
        <w:rPr>
          <w:rFonts w:cs="Arial"/>
          <w:b/>
        </w:rPr>
        <w:t xml:space="preserve"> in R18 mobility WI</w:t>
      </w:r>
      <w:r>
        <w:rPr>
          <w:rFonts w:cs="Arial"/>
          <w:b/>
        </w:rPr>
        <w:t xml:space="preserve">, RAN2 </w:t>
      </w:r>
      <w:r w:rsidR="00AC73D8">
        <w:rPr>
          <w:rFonts w:cs="Arial"/>
          <w:b/>
        </w:rPr>
        <w:t>prioritize</w:t>
      </w:r>
      <w:r w:rsidR="00BF43CC">
        <w:rPr>
          <w:rFonts w:cs="Arial"/>
          <w:b/>
        </w:rPr>
        <w:t>s</w:t>
      </w:r>
      <w:r w:rsidR="00AC73D8">
        <w:rPr>
          <w:rFonts w:cs="Arial"/>
          <w:b/>
        </w:rPr>
        <w:t xml:space="preserve"> </w:t>
      </w:r>
      <w:r w:rsidR="00A053D0">
        <w:rPr>
          <w:rFonts w:cs="Arial"/>
          <w:b/>
        </w:rPr>
        <w:t xml:space="preserve">the selective activation </w:t>
      </w:r>
      <w:r w:rsidR="00131526">
        <w:rPr>
          <w:rFonts w:cs="Arial"/>
          <w:b/>
        </w:rPr>
        <w:t xml:space="preserve">of </w:t>
      </w:r>
      <w:r w:rsidR="001F58D0">
        <w:rPr>
          <w:rFonts w:cs="Arial"/>
          <w:b/>
        </w:rPr>
        <w:t xml:space="preserve">cell groups </w:t>
      </w:r>
      <w:r w:rsidR="00A053D0">
        <w:rPr>
          <w:rFonts w:cs="Arial"/>
          <w:b/>
        </w:rPr>
        <w:t>for SCG.</w:t>
      </w:r>
    </w:p>
    <w:p w14:paraId="3670FE56" w14:textId="77777777" w:rsidR="00610E59" w:rsidRDefault="00610E59" w:rsidP="00EF20EF">
      <w:pPr>
        <w:pStyle w:val="Doc-text2"/>
        <w:tabs>
          <w:tab w:val="left" w:pos="340"/>
        </w:tabs>
        <w:ind w:left="0" w:firstLine="0"/>
        <w:jc w:val="both"/>
        <w:rPr>
          <w:rFonts w:eastAsiaTheme="minorEastAsia"/>
        </w:rPr>
      </w:pPr>
    </w:p>
    <w:p w14:paraId="3E3A38EF" w14:textId="6DBD7EDA" w:rsidR="00275359" w:rsidRPr="00B94288" w:rsidRDefault="00275359" w:rsidP="00275359">
      <w:pPr>
        <w:pStyle w:val="Heading2"/>
        <w:rPr>
          <w:lang w:val="en-US" w:eastAsia="ko-KR"/>
        </w:rPr>
      </w:pPr>
      <w:r>
        <w:rPr>
          <w:lang w:val="en-US" w:eastAsia="ko-KR"/>
        </w:rPr>
        <w:t xml:space="preserve">2.2 </w:t>
      </w:r>
      <w:r w:rsidR="00615333">
        <w:rPr>
          <w:lang w:val="en-US" w:eastAsia="ko-KR"/>
        </w:rPr>
        <w:t xml:space="preserve">Triggering of SCG activation </w:t>
      </w:r>
    </w:p>
    <w:p w14:paraId="1D7DB4DD" w14:textId="2F731CD8" w:rsidR="009B3AAD" w:rsidRDefault="009B3AAD" w:rsidP="00EF20EF">
      <w:pPr>
        <w:pStyle w:val="Doc-text2"/>
        <w:tabs>
          <w:tab w:val="left" w:pos="340"/>
        </w:tabs>
        <w:ind w:left="0" w:firstLine="0"/>
        <w:jc w:val="both"/>
        <w:rPr>
          <w:rFonts w:eastAsiaTheme="minorEastAsia"/>
          <w:lang w:val="en-GB"/>
        </w:rPr>
      </w:pPr>
      <w:r>
        <w:rPr>
          <w:rFonts w:eastAsiaTheme="minorEastAsia"/>
          <w:lang w:val="en-GB"/>
        </w:rPr>
        <w:t>Assuming that we are going to activate one SCG (from multiple candidate SCG) dynamically, t</w:t>
      </w:r>
      <w:r w:rsidR="00615333">
        <w:rPr>
          <w:rFonts w:eastAsiaTheme="minorEastAsia"/>
          <w:lang w:val="en-GB"/>
        </w:rPr>
        <w:t>he</w:t>
      </w:r>
      <w:r>
        <w:rPr>
          <w:rFonts w:eastAsiaTheme="minorEastAsia"/>
          <w:lang w:val="en-GB"/>
        </w:rPr>
        <w:t xml:space="preserve"> first question is how to control/trigger the activation of the target SCG. Fundamentally, there could be two </w:t>
      </w:r>
      <w:r w:rsidR="006D4EF9">
        <w:rPr>
          <w:rFonts w:eastAsiaTheme="minorEastAsia"/>
          <w:lang w:val="en-GB"/>
        </w:rPr>
        <w:t>options:</w:t>
      </w:r>
    </w:p>
    <w:p w14:paraId="52CE36BD" w14:textId="40002B6D" w:rsidR="009B3AAD" w:rsidRPr="009B3AAD" w:rsidRDefault="009B3AAD" w:rsidP="009B3AAD">
      <w:pPr>
        <w:pStyle w:val="Doc-text2"/>
        <w:numPr>
          <w:ilvl w:val="0"/>
          <w:numId w:val="11"/>
        </w:numPr>
        <w:tabs>
          <w:tab w:val="left" w:pos="340"/>
        </w:tabs>
        <w:jc w:val="both"/>
        <w:rPr>
          <w:rFonts w:eastAsiaTheme="minorEastAsia"/>
          <w:lang w:val="en-GB"/>
        </w:rPr>
      </w:pPr>
      <w:r w:rsidRPr="006D4EF9">
        <w:rPr>
          <w:rFonts w:eastAsiaTheme="minorEastAsia"/>
          <w:b/>
          <w:bCs/>
          <w:lang w:val="en-GB"/>
        </w:rPr>
        <w:t>Option 1</w:t>
      </w:r>
      <w:r>
        <w:rPr>
          <w:rFonts w:eastAsiaTheme="minorEastAsia"/>
          <w:lang w:val="en-GB"/>
        </w:rPr>
        <w:t xml:space="preserve"> – Based on </w:t>
      </w:r>
      <w:r w:rsidRPr="009B3AAD">
        <w:rPr>
          <w:rFonts w:eastAsiaTheme="minorEastAsia"/>
          <w:lang w:val="en-GB"/>
        </w:rPr>
        <w:t xml:space="preserve">NW </w:t>
      </w:r>
      <w:r>
        <w:rPr>
          <w:rFonts w:eastAsiaTheme="minorEastAsia"/>
          <w:lang w:val="en-GB"/>
        </w:rPr>
        <w:t>signaling</w:t>
      </w:r>
      <w:r w:rsidRPr="009B3AAD">
        <w:rPr>
          <w:rFonts w:eastAsiaTheme="minorEastAsia"/>
          <w:lang w:val="en-GB"/>
        </w:rPr>
        <w:t xml:space="preserve"> (</w:t>
      </w:r>
      <w:proofErr w:type="gramStart"/>
      <w:r>
        <w:rPr>
          <w:rFonts w:eastAsiaTheme="minorEastAsia"/>
          <w:lang w:val="en-GB"/>
        </w:rPr>
        <w:t>e.g</w:t>
      </w:r>
      <w:r w:rsidR="006D4EF9">
        <w:rPr>
          <w:rFonts w:eastAsiaTheme="minorEastAsia"/>
          <w:lang w:val="en-GB"/>
        </w:rPr>
        <w:t>.</w:t>
      </w:r>
      <w:proofErr w:type="gramEnd"/>
      <w:r>
        <w:rPr>
          <w:rFonts w:eastAsiaTheme="minorEastAsia"/>
          <w:lang w:val="en-GB"/>
        </w:rPr>
        <w:t xml:space="preserve"> </w:t>
      </w:r>
      <w:r w:rsidRPr="009B3AAD">
        <w:rPr>
          <w:rFonts w:eastAsiaTheme="minorEastAsia"/>
          <w:lang w:val="en-GB"/>
        </w:rPr>
        <w:t>via RR</w:t>
      </w:r>
      <w:r>
        <w:rPr>
          <w:rFonts w:eastAsiaTheme="minorEastAsia"/>
          <w:lang w:val="en-GB"/>
        </w:rPr>
        <w:t>C signaling</w:t>
      </w:r>
      <w:r w:rsidRPr="009B3AAD">
        <w:rPr>
          <w:rFonts w:eastAsiaTheme="minorEastAsia"/>
          <w:lang w:val="en-GB"/>
        </w:rPr>
        <w:t>)</w:t>
      </w:r>
    </w:p>
    <w:p w14:paraId="4C16D031" w14:textId="4250B2BE" w:rsidR="009B3AAD" w:rsidRPr="009B3AAD" w:rsidRDefault="006D4EF9" w:rsidP="006D4EF9">
      <w:pPr>
        <w:pStyle w:val="Doc-text2"/>
        <w:numPr>
          <w:ilvl w:val="0"/>
          <w:numId w:val="11"/>
        </w:numPr>
        <w:tabs>
          <w:tab w:val="left" w:pos="340"/>
        </w:tabs>
        <w:jc w:val="both"/>
        <w:rPr>
          <w:rFonts w:eastAsiaTheme="minorEastAsia"/>
          <w:lang w:val="en-GB"/>
        </w:rPr>
      </w:pPr>
      <w:r w:rsidRPr="006D4EF9">
        <w:rPr>
          <w:rFonts w:eastAsiaTheme="minorEastAsia"/>
          <w:b/>
          <w:bCs/>
          <w:lang w:val="en-GB"/>
        </w:rPr>
        <w:t>Option 2</w:t>
      </w:r>
      <w:r>
        <w:rPr>
          <w:rFonts w:eastAsiaTheme="minorEastAsia"/>
          <w:lang w:val="en-GB"/>
        </w:rPr>
        <w:t xml:space="preserve"> – Based on P</w:t>
      </w:r>
      <w:r w:rsidR="009B3AAD" w:rsidRPr="009B3AAD">
        <w:rPr>
          <w:rFonts w:eastAsiaTheme="minorEastAsia"/>
          <w:lang w:val="en-GB"/>
        </w:rPr>
        <w:t>re-defined condition (</w:t>
      </w:r>
      <w:r>
        <w:rPr>
          <w:rFonts w:eastAsiaTheme="minorEastAsia"/>
          <w:lang w:val="en-GB"/>
        </w:rPr>
        <w:t>CPC-like</w:t>
      </w:r>
      <w:r w:rsidR="009B3AAD" w:rsidRPr="009B3AAD">
        <w:rPr>
          <w:rFonts w:eastAsiaTheme="minorEastAsia"/>
          <w:lang w:val="en-GB"/>
        </w:rPr>
        <w:t>)</w:t>
      </w:r>
    </w:p>
    <w:p w14:paraId="025892B4" w14:textId="0B485CCF" w:rsidR="00FF6276" w:rsidRDefault="00FF6276" w:rsidP="00EF20EF">
      <w:pPr>
        <w:pStyle w:val="Doc-text2"/>
        <w:tabs>
          <w:tab w:val="left" w:pos="340"/>
        </w:tabs>
        <w:ind w:left="0" w:firstLine="0"/>
        <w:jc w:val="both"/>
        <w:rPr>
          <w:rFonts w:eastAsiaTheme="minorEastAsia"/>
          <w:lang w:val="en-GB"/>
        </w:rPr>
      </w:pPr>
    </w:p>
    <w:p w14:paraId="721D2F2A" w14:textId="5193013E" w:rsidR="006D4EF9" w:rsidRPr="009B3AAD" w:rsidRDefault="006D4EF9" w:rsidP="00EF20EF">
      <w:pPr>
        <w:pStyle w:val="Doc-text2"/>
        <w:tabs>
          <w:tab w:val="left" w:pos="340"/>
        </w:tabs>
        <w:ind w:left="0" w:firstLine="0"/>
        <w:jc w:val="both"/>
        <w:rPr>
          <w:rFonts w:eastAsiaTheme="minorEastAsia"/>
          <w:lang w:val="en-GB"/>
        </w:rPr>
      </w:pPr>
      <w:r>
        <w:rPr>
          <w:rFonts w:eastAsiaTheme="minorEastAsia"/>
          <w:lang w:val="en-GB"/>
        </w:rPr>
        <w:t xml:space="preserve">The WID description itself is not clear on whether the activation is based on NW signaling or UE predefined condition. Since one of the </w:t>
      </w:r>
      <w:r w:rsidR="00B81D8D">
        <w:rPr>
          <w:rFonts w:eastAsiaTheme="minorEastAsia"/>
          <w:lang w:val="en-GB"/>
        </w:rPr>
        <w:t xml:space="preserve">main </w:t>
      </w:r>
      <w:r>
        <w:rPr>
          <w:rFonts w:eastAsiaTheme="minorEastAsia"/>
          <w:lang w:val="en-GB"/>
        </w:rPr>
        <w:t>motivation</w:t>
      </w:r>
      <w:r w:rsidR="00B81D8D">
        <w:rPr>
          <w:rFonts w:eastAsiaTheme="minorEastAsia"/>
          <w:lang w:val="en-GB"/>
        </w:rPr>
        <w:t>s</w:t>
      </w:r>
      <w:r>
        <w:rPr>
          <w:rFonts w:eastAsiaTheme="minorEastAsia"/>
          <w:lang w:val="en-GB"/>
        </w:rPr>
        <w:t xml:space="preserve"> to have this objective is to reduce signaling overhead, we believe that option 1 may not be suitable for this enhancement. If RRC message is needed to trigger the activation of one SCG, there is </w:t>
      </w:r>
      <w:proofErr w:type="gramStart"/>
      <w:r>
        <w:rPr>
          <w:rFonts w:eastAsiaTheme="minorEastAsia"/>
          <w:lang w:val="en-GB"/>
        </w:rPr>
        <w:t>no</w:t>
      </w:r>
      <w:proofErr w:type="gramEnd"/>
      <w:r>
        <w:rPr>
          <w:rFonts w:eastAsiaTheme="minorEastAsia"/>
          <w:lang w:val="en-GB"/>
        </w:rPr>
        <w:t xml:space="preserve"> much difference compared to legacy SCG change procedure. As the WID also mentioned </w:t>
      </w:r>
      <w:r w:rsidR="00813669">
        <w:rPr>
          <w:rFonts w:eastAsiaTheme="minorEastAsia"/>
          <w:lang w:val="en-GB"/>
        </w:rPr>
        <w:t>“</w:t>
      </w:r>
      <w:r w:rsidR="00813669">
        <w:rPr>
          <w:bCs/>
        </w:rPr>
        <w:t xml:space="preserve">without reconfiguration and re-initiation of </w:t>
      </w:r>
      <w:r w:rsidR="00813669" w:rsidRPr="00813669">
        <w:rPr>
          <w:b/>
        </w:rPr>
        <w:t>CPC/CPA</w:t>
      </w:r>
      <w:r w:rsidR="00813669">
        <w:rPr>
          <w:rFonts w:eastAsiaTheme="minorEastAsia"/>
          <w:lang w:val="en-GB"/>
        </w:rPr>
        <w:t xml:space="preserve">”, our preference is to use CPC-like triggering condition (option 2). We suggest RAN2 to go with this direction for obj#2. </w:t>
      </w:r>
    </w:p>
    <w:p w14:paraId="0315AF9D" w14:textId="77777777" w:rsidR="00FF6276" w:rsidRDefault="00FF6276" w:rsidP="00EF20EF">
      <w:pPr>
        <w:pStyle w:val="Doc-text2"/>
        <w:tabs>
          <w:tab w:val="left" w:pos="340"/>
        </w:tabs>
        <w:ind w:left="0" w:firstLine="0"/>
        <w:jc w:val="both"/>
        <w:rPr>
          <w:rFonts w:eastAsiaTheme="minorEastAsia"/>
          <w:lang w:val="en-GB"/>
        </w:rPr>
      </w:pPr>
    </w:p>
    <w:p w14:paraId="58DFF4DA" w14:textId="539C4514" w:rsidR="00A053D0" w:rsidRPr="00813669" w:rsidRDefault="00A053D0" w:rsidP="00EF20EF">
      <w:pPr>
        <w:pStyle w:val="Doc-text2"/>
        <w:tabs>
          <w:tab w:val="left" w:pos="340"/>
        </w:tabs>
        <w:ind w:left="0" w:firstLine="0"/>
        <w:jc w:val="both"/>
        <w:rPr>
          <w:rFonts w:cs="Arial"/>
          <w:b/>
        </w:rPr>
      </w:pPr>
      <w:r w:rsidRPr="008A29F1">
        <w:rPr>
          <w:rFonts w:cs="Arial"/>
          <w:b/>
        </w:rPr>
        <w:t xml:space="preserve">Proposal </w:t>
      </w:r>
      <w:r>
        <w:rPr>
          <w:rFonts w:cs="Arial"/>
          <w:b/>
        </w:rPr>
        <w:t>2</w:t>
      </w:r>
      <w:r w:rsidRPr="008A29F1">
        <w:rPr>
          <w:rFonts w:cs="Arial"/>
          <w:b/>
        </w:rPr>
        <w:t xml:space="preserve">: </w:t>
      </w:r>
      <w:r>
        <w:rPr>
          <w:rFonts w:cs="Arial"/>
          <w:b/>
        </w:rPr>
        <w:t xml:space="preserve">RAN2 </w:t>
      </w:r>
      <w:r w:rsidR="00813669">
        <w:rPr>
          <w:rFonts w:cs="Arial"/>
          <w:b/>
        </w:rPr>
        <w:t>understands that selective activation of cell groups is triggered by pre-defined condition (CPC-like behavior).</w:t>
      </w:r>
    </w:p>
    <w:p w14:paraId="6AB428E2" w14:textId="77777777" w:rsidR="00A053D0" w:rsidRPr="00813669" w:rsidRDefault="00A053D0" w:rsidP="00EF20EF">
      <w:pPr>
        <w:pStyle w:val="Doc-text2"/>
        <w:tabs>
          <w:tab w:val="left" w:pos="340"/>
        </w:tabs>
        <w:ind w:left="0" w:firstLine="0"/>
        <w:jc w:val="both"/>
        <w:rPr>
          <w:rFonts w:eastAsiaTheme="minorEastAsia"/>
        </w:rPr>
      </w:pPr>
    </w:p>
    <w:p w14:paraId="38D94CED" w14:textId="2608B5F8" w:rsidR="00392B2F" w:rsidRPr="00B94288" w:rsidRDefault="00392B2F" w:rsidP="00392B2F">
      <w:pPr>
        <w:pStyle w:val="Heading2"/>
        <w:rPr>
          <w:lang w:val="en-US" w:eastAsia="ko-KR"/>
        </w:rPr>
      </w:pPr>
      <w:r>
        <w:rPr>
          <w:lang w:val="en-US" w:eastAsia="ko-KR"/>
        </w:rPr>
        <w:t xml:space="preserve">2.3 </w:t>
      </w:r>
      <w:bookmarkStart w:id="2" w:name="_Hlk109224780"/>
      <w:r w:rsidR="00610E59">
        <w:rPr>
          <w:lang w:val="en-US" w:eastAsia="ko-KR"/>
        </w:rPr>
        <w:t>S</w:t>
      </w:r>
      <w:r w:rsidR="00610E59" w:rsidRPr="00610E59">
        <w:rPr>
          <w:lang w:val="en-US" w:eastAsia="ko-KR"/>
        </w:rPr>
        <w:t xml:space="preserve">ubsequent </w:t>
      </w:r>
      <w:r w:rsidR="00610E59">
        <w:rPr>
          <w:lang w:val="en-US" w:eastAsia="ko-KR"/>
        </w:rPr>
        <w:t>SCG C</w:t>
      </w:r>
      <w:r w:rsidR="00610E59" w:rsidRPr="00610E59">
        <w:rPr>
          <w:lang w:val="en-US" w:eastAsia="ko-KR"/>
        </w:rPr>
        <w:t>hange</w:t>
      </w:r>
      <w:bookmarkEnd w:id="2"/>
    </w:p>
    <w:p w14:paraId="2BCAEB04" w14:textId="523F4618" w:rsidR="00F25854" w:rsidRDefault="00B81D8D" w:rsidP="00EF20EF">
      <w:pPr>
        <w:pStyle w:val="Doc-text2"/>
        <w:tabs>
          <w:tab w:val="left" w:pos="340"/>
        </w:tabs>
        <w:ind w:left="0" w:firstLine="0"/>
        <w:jc w:val="both"/>
        <w:rPr>
          <w:rFonts w:eastAsiaTheme="minorEastAsia"/>
        </w:rPr>
      </w:pPr>
      <w:r>
        <w:rPr>
          <w:rFonts w:eastAsiaTheme="minorEastAsia"/>
        </w:rPr>
        <w:t xml:space="preserve">With the understanding from P1 and P2, we think that the </w:t>
      </w:r>
      <w:r w:rsidR="007B245D">
        <w:rPr>
          <w:rFonts w:eastAsiaTheme="minorEastAsia"/>
        </w:rPr>
        <w:t xml:space="preserve">key discussion point for selective SCG activation is how to support the </w:t>
      </w:r>
      <w:r w:rsidR="007B245D" w:rsidRPr="00A277BF">
        <w:rPr>
          <w:rFonts w:eastAsiaTheme="minorEastAsia"/>
          <w:b/>
          <w:bCs/>
        </w:rPr>
        <w:t>subsequent SCG change</w:t>
      </w:r>
      <w:r w:rsidR="007B245D">
        <w:rPr>
          <w:rFonts w:eastAsiaTheme="minorEastAsia"/>
        </w:rPr>
        <w:t xml:space="preserve"> </w:t>
      </w:r>
      <w:r w:rsidR="007B245D" w:rsidRPr="00A277BF">
        <w:rPr>
          <w:rFonts w:eastAsiaTheme="minorEastAsia"/>
          <w:i/>
          <w:iCs/>
        </w:rPr>
        <w:t>without</w:t>
      </w:r>
      <w:r w:rsidR="007B245D">
        <w:rPr>
          <w:rFonts w:eastAsiaTheme="minorEastAsia"/>
        </w:rPr>
        <w:t xml:space="preserve"> RRC </w:t>
      </w:r>
      <w:r w:rsidR="00A277BF">
        <w:rPr>
          <w:rFonts w:eastAsiaTheme="minorEastAsia"/>
        </w:rPr>
        <w:t>Reconfiguration</w:t>
      </w:r>
      <w:r w:rsidR="007B245D">
        <w:rPr>
          <w:rFonts w:eastAsiaTheme="minorEastAsia"/>
        </w:rPr>
        <w:t xml:space="preserve"> message</w:t>
      </w:r>
      <w:r w:rsidR="00A277BF">
        <w:rPr>
          <w:rFonts w:eastAsiaTheme="minorEastAsia"/>
        </w:rPr>
        <w:t xml:space="preserve">. Taking R16/R17 CPC/CPA as baseline, the UE could be configured with multiple candidate </w:t>
      </w:r>
      <w:proofErr w:type="spellStart"/>
      <w:r w:rsidR="00A277BF">
        <w:rPr>
          <w:rFonts w:eastAsiaTheme="minorEastAsia"/>
        </w:rPr>
        <w:t>PSCells</w:t>
      </w:r>
      <w:proofErr w:type="spellEnd"/>
      <w:r w:rsidR="00A277BF">
        <w:rPr>
          <w:rFonts w:eastAsiaTheme="minorEastAsia"/>
        </w:rPr>
        <w:t xml:space="preserve"> </w:t>
      </w:r>
      <w:r w:rsidR="001A50D9">
        <w:rPr>
          <w:rFonts w:eastAsiaTheme="minorEastAsia"/>
        </w:rPr>
        <w:t>associated with</w:t>
      </w:r>
      <w:r w:rsidR="00A277BF">
        <w:rPr>
          <w:rFonts w:eastAsiaTheme="minorEastAsia"/>
        </w:rPr>
        <w:t xml:space="preserve"> corresponding triggering condition. </w:t>
      </w:r>
      <w:proofErr w:type="spellStart"/>
      <w:r w:rsidR="00A277BF">
        <w:rPr>
          <w:rFonts w:eastAsiaTheme="minorEastAsia"/>
        </w:rPr>
        <w:t>PSCell</w:t>
      </w:r>
      <w:proofErr w:type="spellEnd"/>
      <w:r w:rsidR="00A277BF">
        <w:rPr>
          <w:rFonts w:eastAsiaTheme="minorEastAsia"/>
        </w:rPr>
        <w:t xml:space="preserve"> </w:t>
      </w:r>
      <w:r w:rsidR="00A277BF">
        <w:rPr>
          <w:rFonts w:eastAsiaTheme="minorEastAsia"/>
        </w:rPr>
        <w:lastRenderedPageBreak/>
        <w:t xml:space="preserve">add or change would be performed </w:t>
      </w:r>
      <w:r w:rsidR="001A50D9">
        <w:rPr>
          <w:rFonts w:eastAsiaTheme="minorEastAsia"/>
        </w:rPr>
        <w:t xml:space="preserve">once the condition is met. In our view, the basic flow of </w:t>
      </w:r>
      <w:r w:rsidR="001A50D9" w:rsidRPr="001A50D9">
        <w:rPr>
          <w:rFonts w:eastAsiaTheme="minorEastAsia"/>
        </w:rPr>
        <w:t>subsequent</w:t>
      </w:r>
      <w:r w:rsidR="001A50D9">
        <w:rPr>
          <w:rFonts w:eastAsiaTheme="minorEastAsia"/>
        </w:rPr>
        <w:t xml:space="preserve"> SCG change after CPC could be illustrated as below.</w:t>
      </w:r>
    </w:p>
    <w:p w14:paraId="7809789D" w14:textId="1E65216A" w:rsidR="001A50D9" w:rsidRDefault="001A50D9" w:rsidP="00EF20EF">
      <w:pPr>
        <w:pStyle w:val="Doc-text2"/>
        <w:tabs>
          <w:tab w:val="left" w:pos="340"/>
        </w:tabs>
        <w:ind w:left="0" w:firstLine="0"/>
        <w:jc w:val="both"/>
        <w:rPr>
          <w:rFonts w:eastAsiaTheme="minorEastAsia"/>
        </w:rPr>
      </w:pPr>
    </w:p>
    <w:p w14:paraId="28BF9515" w14:textId="1C60B723" w:rsidR="001A50D9" w:rsidRDefault="00EA12FB" w:rsidP="001A50D9">
      <w:pPr>
        <w:pStyle w:val="Doc-text2"/>
        <w:tabs>
          <w:tab w:val="left" w:pos="340"/>
        </w:tabs>
        <w:ind w:left="0" w:firstLine="0"/>
        <w:jc w:val="center"/>
        <w:rPr>
          <w:rFonts w:eastAsiaTheme="minorEastAsia"/>
        </w:rPr>
      </w:pPr>
      <w:r>
        <w:object w:dxaOrig="10692" w:dyaOrig="10308" w14:anchorId="6D62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417.6pt" o:ole="">
            <v:imagedata r:id="rId8" o:title=""/>
          </v:shape>
          <o:OLEObject Type="Embed" ProgID="Visio.Drawing.15" ShapeID="_x0000_i1025" DrawAspect="Content" ObjectID="_1721646692" r:id="rId9"/>
        </w:object>
      </w:r>
    </w:p>
    <w:p w14:paraId="697A95AB" w14:textId="77777777" w:rsidR="001A50D9" w:rsidRDefault="001A50D9" w:rsidP="00EF20EF">
      <w:pPr>
        <w:pStyle w:val="Doc-text2"/>
        <w:tabs>
          <w:tab w:val="left" w:pos="340"/>
        </w:tabs>
        <w:ind w:left="0" w:firstLine="0"/>
        <w:jc w:val="both"/>
        <w:rPr>
          <w:rFonts w:eastAsiaTheme="minorEastAsia"/>
        </w:rPr>
      </w:pPr>
    </w:p>
    <w:p w14:paraId="3BFBFDA4" w14:textId="415E90F2" w:rsidR="001A50D9" w:rsidRDefault="001A50D9" w:rsidP="001A50D9">
      <w:pPr>
        <w:pStyle w:val="Doc-text2"/>
        <w:tabs>
          <w:tab w:val="clear" w:pos="1622"/>
          <w:tab w:val="left" w:pos="3732"/>
        </w:tabs>
        <w:ind w:left="0" w:firstLine="0"/>
        <w:jc w:val="center"/>
        <w:rPr>
          <w:rFonts w:eastAsiaTheme="minorEastAsia"/>
        </w:rPr>
      </w:pPr>
      <w:r>
        <w:rPr>
          <w:rFonts w:eastAsiaTheme="minorEastAsia"/>
        </w:rPr>
        <w:t xml:space="preserve">Figure 1 – </w:t>
      </w:r>
      <w:r>
        <w:rPr>
          <w:lang w:eastAsia="ko-KR"/>
        </w:rPr>
        <w:t>S</w:t>
      </w:r>
      <w:r w:rsidRPr="00610E59">
        <w:rPr>
          <w:lang w:eastAsia="ko-KR"/>
        </w:rPr>
        <w:t xml:space="preserve">ubsequent </w:t>
      </w:r>
      <w:r>
        <w:rPr>
          <w:lang w:eastAsia="ko-KR"/>
        </w:rPr>
        <w:t>SCG C</w:t>
      </w:r>
      <w:r w:rsidRPr="00610E59">
        <w:rPr>
          <w:lang w:eastAsia="ko-KR"/>
        </w:rPr>
        <w:t>hange</w:t>
      </w:r>
      <w:r>
        <w:rPr>
          <w:rFonts w:eastAsiaTheme="minorEastAsia"/>
        </w:rPr>
        <w:t xml:space="preserve"> after CPC</w:t>
      </w:r>
    </w:p>
    <w:p w14:paraId="011C5933" w14:textId="77777777" w:rsidR="001A50D9" w:rsidRDefault="001A50D9" w:rsidP="00A277BF">
      <w:pPr>
        <w:pStyle w:val="Doc-text2"/>
        <w:tabs>
          <w:tab w:val="clear" w:pos="1622"/>
          <w:tab w:val="left" w:pos="3732"/>
        </w:tabs>
        <w:ind w:left="0" w:firstLine="0"/>
        <w:jc w:val="both"/>
        <w:rPr>
          <w:rFonts w:eastAsiaTheme="minorEastAsia"/>
        </w:rPr>
      </w:pPr>
    </w:p>
    <w:p w14:paraId="77C92677" w14:textId="3345E499" w:rsidR="001A50D9" w:rsidRDefault="0017549F" w:rsidP="00A277BF">
      <w:pPr>
        <w:pStyle w:val="Doc-text2"/>
        <w:tabs>
          <w:tab w:val="clear" w:pos="1622"/>
          <w:tab w:val="left" w:pos="3732"/>
        </w:tabs>
        <w:ind w:left="0" w:firstLine="0"/>
        <w:jc w:val="both"/>
        <w:rPr>
          <w:rFonts w:eastAsiaTheme="minorEastAsia"/>
        </w:rPr>
      </w:pPr>
      <w:r>
        <w:rPr>
          <w:rFonts w:eastAsiaTheme="minorEastAsia"/>
        </w:rPr>
        <w:t xml:space="preserve">Similar to CPC, we could also have </w:t>
      </w:r>
      <w:r>
        <w:rPr>
          <w:lang w:eastAsia="ko-KR"/>
        </w:rPr>
        <w:t>s</w:t>
      </w:r>
      <w:r w:rsidRPr="00610E59">
        <w:rPr>
          <w:lang w:eastAsia="ko-KR"/>
        </w:rPr>
        <w:t xml:space="preserve">ubsequent </w:t>
      </w:r>
      <w:r>
        <w:rPr>
          <w:lang w:eastAsia="ko-KR"/>
        </w:rPr>
        <w:t>SCG C</w:t>
      </w:r>
      <w:r w:rsidRPr="00610E59">
        <w:rPr>
          <w:lang w:eastAsia="ko-KR"/>
        </w:rPr>
        <w:t>hange</w:t>
      </w:r>
      <w:r>
        <w:rPr>
          <w:lang w:eastAsia="ko-KR"/>
        </w:rPr>
        <w:t xml:space="preserve"> after CPA, </w:t>
      </w:r>
      <w:r w:rsidR="00F4624C">
        <w:rPr>
          <w:lang w:eastAsia="ko-KR"/>
        </w:rPr>
        <w:t>the basic follow is shown below.</w:t>
      </w:r>
    </w:p>
    <w:p w14:paraId="717884A8" w14:textId="77777777" w:rsidR="001A50D9" w:rsidRDefault="001A50D9" w:rsidP="00A277BF">
      <w:pPr>
        <w:pStyle w:val="Doc-text2"/>
        <w:tabs>
          <w:tab w:val="clear" w:pos="1622"/>
          <w:tab w:val="left" w:pos="3732"/>
        </w:tabs>
        <w:ind w:left="0" w:firstLine="0"/>
        <w:jc w:val="both"/>
        <w:rPr>
          <w:rFonts w:eastAsiaTheme="minorEastAsia"/>
        </w:rPr>
      </w:pPr>
    </w:p>
    <w:p w14:paraId="2E235EA7" w14:textId="47822E75" w:rsidR="001A50D9" w:rsidRDefault="00EA12FB" w:rsidP="0017549F">
      <w:pPr>
        <w:pStyle w:val="Doc-text2"/>
        <w:tabs>
          <w:tab w:val="clear" w:pos="1622"/>
          <w:tab w:val="left" w:pos="3732"/>
        </w:tabs>
        <w:ind w:left="0" w:firstLine="0"/>
        <w:jc w:val="center"/>
      </w:pPr>
      <w:r>
        <w:object w:dxaOrig="10692" w:dyaOrig="10308" w14:anchorId="2CB872DE">
          <v:shape id="_x0000_i1026" type="#_x0000_t75" style="width:446.4pt;height:430.8pt" o:ole="">
            <v:imagedata r:id="rId10" o:title=""/>
          </v:shape>
          <o:OLEObject Type="Embed" ProgID="Visio.Drawing.15" ShapeID="_x0000_i1026" DrawAspect="Content" ObjectID="_1721646693" r:id="rId11"/>
        </w:object>
      </w:r>
    </w:p>
    <w:p w14:paraId="57ED69F1" w14:textId="34230AC1" w:rsidR="0017549F" w:rsidRDefault="0017549F" w:rsidP="0017549F">
      <w:pPr>
        <w:pStyle w:val="Doc-text2"/>
        <w:tabs>
          <w:tab w:val="clear" w:pos="1622"/>
          <w:tab w:val="left" w:pos="3732"/>
        </w:tabs>
        <w:ind w:left="0" w:firstLine="0"/>
        <w:jc w:val="center"/>
        <w:rPr>
          <w:rFonts w:eastAsiaTheme="minorEastAsia"/>
        </w:rPr>
      </w:pPr>
      <w:r>
        <w:rPr>
          <w:rFonts w:eastAsiaTheme="minorEastAsia"/>
        </w:rPr>
        <w:t xml:space="preserve">Figure 2 – </w:t>
      </w:r>
      <w:r>
        <w:rPr>
          <w:lang w:eastAsia="ko-KR"/>
        </w:rPr>
        <w:t>S</w:t>
      </w:r>
      <w:r w:rsidRPr="00610E59">
        <w:rPr>
          <w:lang w:eastAsia="ko-KR"/>
        </w:rPr>
        <w:t xml:space="preserve">ubsequent </w:t>
      </w:r>
      <w:r>
        <w:rPr>
          <w:lang w:eastAsia="ko-KR"/>
        </w:rPr>
        <w:t>SCG C</w:t>
      </w:r>
      <w:r w:rsidRPr="00610E59">
        <w:rPr>
          <w:lang w:eastAsia="ko-KR"/>
        </w:rPr>
        <w:t>hange</w:t>
      </w:r>
      <w:r>
        <w:rPr>
          <w:rFonts w:eastAsiaTheme="minorEastAsia"/>
        </w:rPr>
        <w:t xml:space="preserve"> after CPA</w:t>
      </w:r>
    </w:p>
    <w:p w14:paraId="4930D280" w14:textId="77777777" w:rsidR="0017549F" w:rsidRDefault="0017549F" w:rsidP="0017549F">
      <w:pPr>
        <w:pStyle w:val="Doc-text2"/>
        <w:tabs>
          <w:tab w:val="clear" w:pos="1622"/>
          <w:tab w:val="left" w:pos="3732"/>
        </w:tabs>
        <w:ind w:left="0" w:firstLine="0"/>
        <w:jc w:val="center"/>
        <w:rPr>
          <w:rFonts w:eastAsiaTheme="minorEastAsia"/>
        </w:rPr>
      </w:pPr>
    </w:p>
    <w:p w14:paraId="737CC8D2" w14:textId="3BE62669" w:rsidR="00F25854" w:rsidRDefault="00F25854" w:rsidP="00A277BF">
      <w:pPr>
        <w:pStyle w:val="Doc-text2"/>
        <w:tabs>
          <w:tab w:val="clear" w:pos="1622"/>
          <w:tab w:val="left" w:pos="3732"/>
        </w:tabs>
        <w:ind w:left="0" w:firstLine="0"/>
        <w:jc w:val="both"/>
        <w:rPr>
          <w:rFonts w:eastAsiaTheme="minorEastAsia"/>
        </w:rPr>
      </w:pPr>
    </w:p>
    <w:p w14:paraId="1CB5B50F" w14:textId="4649C2E8" w:rsidR="001D1285" w:rsidRDefault="00866B53" w:rsidP="00A277BF">
      <w:pPr>
        <w:pStyle w:val="Doc-text2"/>
        <w:tabs>
          <w:tab w:val="clear" w:pos="1622"/>
          <w:tab w:val="left" w:pos="3732"/>
        </w:tabs>
        <w:ind w:left="0" w:firstLine="0"/>
        <w:jc w:val="both"/>
        <w:rPr>
          <w:rFonts w:eastAsiaTheme="minorEastAsia"/>
        </w:rPr>
      </w:pPr>
      <w:r>
        <w:rPr>
          <w:rFonts w:eastAsiaTheme="minorEastAsia"/>
        </w:rPr>
        <w:t>T</w:t>
      </w:r>
      <w:r w:rsidR="00F43183">
        <w:rPr>
          <w:rFonts w:eastAsiaTheme="minorEastAsia"/>
        </w:rPr>
        <w:t xml:space="preserve">he procedure of </w:t>
      </w:r>
      <w:r w:rsidR="00F43183" w:rsidRPr="00F43183">
        <w:rPr>
          <w:rFonts w:eastAsiaTheme="minorEastAsia"/>
        </w:rPr>
        <w:t>subsequent SCG change</w:t>
      </w:r>
      <w:r w:rsidR="001D1285">
        <w:rPr>
          <w:rFonts w:eastAsiaTheme="minorEastAsia"/>
        </w:rPr>
        <w:t xml:space="preserve"> is very similar to current CPC procedure. The NW will configure some </w:t>
      </w:r>
      <w:r w:rsidR="001D1285" w:rsidRPr="001D1285">
        <w:rPr>
          <w:rFonts w:eastAsiaTheme="minorEastAsia"/>
        </w:rPr>
        <w:t xml:space="preserve">candidate </w:t>
      </w:r>
      <w:proofErr w:type="spellStart"/>
      <w:r w:rsidR="001D1285" w:rsidRPr="001D1285">
        <w:rPr>
          <w:rFonts w:eastAsiaTheme="minorEastAsia"/>
        </w:rPr>
        <w:t>PSCell</w:t>
      </w:r>
      <w:proofErr w:type="spellEnd"/>
      <w:r w:rsidR="001D1285">
        <w:rPr>
          <w:rFonts w:eastAsiaTheme="minorEastAsia"/>
        </w:rPr>
        <w:t xml:space="preserve"> which </w:t>
      </w:r>
      <w:r w:rsidR="001D1285" w:rsidRPr="001D1285">
        <w:rPr>
          <w:rFonts w:eastAsiaTheme="minorEastAsia"/>
        </w:rPr>
        <w:t>is associated with some trigger condition and predefined reconfiguration</w:t>
      </w:r>
      <w:r w:rsidR="001D1285">
        <w:rPr>
          <w:rFonts w:eastAsiaTheme="minorEastAsia"/>
        </w:rPr>
        <w:t xml:space="preserve">. </w:t>
      </w:r>
      <w:r w:rsidR="001D1285" w:rsidRPr="001D1285">
        <w:rPr>
          <w:rFonts w:eastAsiaTheme="minorEastAsia"/>
        </w:rPr>
        <w:t>Once the trigger condition is met, the UE perform SCG change based on the predefined reconfiguration</w:t>
      </w:r>
      <w:r w:rsidR="001D1285">
        <w:rPr>
          <w:rFonts w:eastAsiaTheme="minorEastAsia"/>
        </w:rPr>
        <w:t xml:space="preserve">. </w:t>
      </w:r>
      <w:r w:rsidR="00A65479">
        <w:rPr>
          <w:rFonts w:eastAsiaTheme="minorEastAsia"/>
        </w:rPr>
        <w:t xml:space="preserve">The key difference is that the UE will keep all candidate configuration (the trigger condition and predefined configuration) after </w:t>
      </w:r>
      <w:r w:rsidR="009439B3">
        <w:rPr>
          <w:rFonts w:eastAsiaTheme="minorEastAsia"/>
        </w:rPr>
        <w:t>the SCG change.</w:t>
      </w:r>
    </w:p>
    <w:p w14:paraId="6523CDC4" w14:textId="77777777" w:rsidR="001D1285" w:rsidRDefault="001D1285" w:rsidP="00A277BF">
      <w:pPr>
        <w:pStyle w:val="Doc-text2"/>
        <w:tabs>
          <w:tab w:val="clear" w:pos="1622"/>
          <w:tab w:val="left" w:pos="3732"/>
        </w:tabs>
        <w:ind w:left="0" w:firstLine="0"/>
        <w:jc w:val="both"/>
        <w:rPr>
          <w:rFonts w:eastAsiaTheme="minorEastAsia"/>
        </w:rPr>
      </w:pPr>
    </w:p>
    <w:p w14:paraId="1351E36C" w14:textId="77777777" w:rsidR="009E5640" w:rsidRDefault="001D1285" w:rsidP="00A277BF">
      <w:pPr>
        <w:pStyle w:val="Doc-text2"/>
        <w:tabs>
          <w:tab w:val="clear" w:pos="1622"/>
          <w:tab w:val="left" w:pos="3732"/>
        </w:tabs>
        <w:ind w:left="0" w:firstLine="0"/>
        <w:jc w:val="both"/>
        <w:rPr>
          <w:rFonts w:eastAsiaTheme="minorEastAsia"/>
        </w:rPr>
      </w:pPr>
      <w:r>
        <w:rPr>
          <w:rFonts w:eastAsiaTheme="minorEastAsia"/>
        </w:rPr>
        <w:t>RAN2 could further discuss the RRC model of the “</w:t>
      </w:r>
      <w:r w:rsidRPr="001D1285">
        <w:rPr>
          <w:rFonts w:eastAsiaTheme="minorEastAsia"/>
        </w:rPr>
        <w:t>predefined reconfiguration</w:t>
      </w:r>
      <w:r>
        <w:rPr>
          <w:rFonts w:eastAsiaTheme="minorEastAsia"/>
        </w:rPr>
        <w:t xml:space="preserve">”. In CPC, it is a complete RRC Reconfiguration message. In selective SCG activation, whether we need whole RRC message could be further studied. In addition, the delta configuration aspect should be taken into account as now UE will keep the </w:t>
      </w:r>
      <w:r w:rsidRPr="001D1285">
        <w:rPr>
          <w:rFonts w:eastAsiaTheme="minorEastAsia"/>
        </w:rPr>
        <w:t>predefined reconfiguration</w:t>
      </w:r>
      <w:r>
        <w:rPr>
          <w:rFonts w:eastAsiaTheme="minorEastAsia"/>
        </w:rPr>
        <w:t xml:space="preserve"> even after </w:t>
      </w:r>
      <w:r w:rsidR="009439B3">
        <w:rPr>
          <w:rFonts w:eastAsiaTheme="minorEastAsia"/>
        </w:rPr>
        <w:t>applying</w:t>
      </w:r>
      <w:r>
        <w:rPr>
          <w:rFonts w:eastAsiaTheme="minorEastAsia"/>
        </w:rPr>
        <w:t xml:space="preserve"> the predefined configuration from </w:t>
      </w:r>
      <w:proofErr w:type="gramStart"/>
      <w:r>
        <w:rPr>
          <w:rFonts w:eastAsiaTheme="minorEastAsia"/>
        </w:rPr>
        <w:t>other</w:t>
      </w:r>
      <w:proofErr w:type="gramEnd"/>
      <w:r>
        <w:rPr>
          <w:rFonts w:eastAsiaTheme="minorEastAsia"/>
        </w:rPr>
        <w:t xml:space="preserve"> candidate. </w:t>
      </w:r>
      <w:r w:rsidR="009E5640">
        <w:rPr>
          <w:rFonts w:eastAsiaTheme="minorEastAsia"/>
        </w:rPr>
        <w:t>The trigger condition from CPC could be reused as baseline. RAN2 may have to study how to reuse the trigger condition in s</w:t>
      </w:r>
      <w:r w:rsidR="009E5640" w:rsidRPr="009E5640">
        <w:rPr>
          <w:rFonts w:eastAsiaTheme="minorEastAsia"/>
        </w:rPr>
        <w:t xml:space="preserve">ubsequent </w:t>
      </w:r>
      <w:r w:rsidR="009E5640">
        <w:rPr>
          <w:rFonts w:eastAsiaTheme="minorEastAsia"/>
        </w:rPr>
        <w:t>SCG change.</w:t>
      </w:r>
    </w:p>
    <w:p w14:paraId="3ECBE1FC" w14:textId="77777777" w:rsidR="009E5640" w:rsidRDefault="009E5640" w:rsidP="00A277BF">
      <w:pPr>
        <w:pStyle w:val="Doc-text2"/>
        <w:tabs>
          <w:tab w:val="clear" w:pos="1622"/>
          <w:tab w:val="left" w:pos="3732"/>
        </w:tabs>
        <w:ind w:left="0" w:firstLine="0"/>
        <w:jc w:val="both"/>
        <w:rPr>
          <w:rFonts w:eastAsiaTheme="minorEastAsia"/>
        </w:rPr>
      </w:pPr>
    </w:p>
    <w:p w14:paraId="075C57B3" w14:textId="019A0326" w:rsidR="00F4624C" w:rsidRDefault="009E5640" w:rsidP="00A277BF">
      <w:pPr>
        <w:pStyle w:val="Doc-text2"/>
        <w:tabs>
          <w:tab w:val="clear" w:pos="1622"/>
          <w:tab w:val="left" w:pos="3732"/>
        </w:tabs>
        <w:ind w:left="0" w:firstLine="0"/>
        <w:jc w:val="both"/>
        <w:rPr>
          <w:rFonts w:eastAsiaTheme="minorEastAsia"/>
        </w:rPr>
      </w:pPr>
      <w:r>
        <w:rPr>
          <w:rFonts w:eastAsiaTheme="minorEastAsia"/>
        </w:rPr>
        <w:t xml:space="preserve">Therefore, we propose to confirm the CPC-like flow with some FFS point on predefined reconfiguration and triggering condition. </w:t>
      </w:r>
    </w:p>
    <w:p w14:paraId="331843AA" w14:textId="77777777" w:rsidR="00F4624C" w:rsidRDefault="00F4624C" w:rsidP="00A277BF">
      <w:pPr>
        <w:pStyle w:val="Doc-text2"/>
        <w:tabs>
          <w:tab w:val="clear" w:pos="1622"/>
          <w:tab w:val="left" w:pos="3732"/>
        </w:tabs>
        <w:ind w:left="0" w:firstLine="0"/>
        <w:jc w:val="both"/>
        <w:rPr>
          <w:rFonts w:eastAsiaTheme="minorEastAsia"/>
        </w:rPr>
      </w:pPr>
    </w:p>
    <w:p w14:paraId="49061762" w14:textId="72BFB21A" w:rsidR="00996E6A" w:rsidRDefault="00996E6A" w:rsidP="00996E6A">
      <w:pPr>
        <w:pStyle w:val="Doc-text2"/>
        <w:tabs>
          <w:tab w:val="left" w:pos="340"/>
        </w:tabs>
        <w:ind w:left="0" w:firstLine="0"/>
        <w:jc w:val="both"/>
        <w:rPr>
          <w:rFonts w:cs="Arial"/>
          <w:b/>
        </w:rPr>
      </w:pPr>
      <w:r w:rsidRPr="008A29F1">
        <w:rPr>
          <w:rFonts w:cs="Arial"/>
          <w:b/>
        </w:rPr>
        <w:t xml:space="preserve">Proposal </w:t>
      </w:r>
      <w:r w:rsidR="00AF059F">
        <w:rPr>
          <w:rFonts w:cs="Arial"/>
          <w:b/>
        </w:rPr>
        <w:t>3</w:t>
      </w:r>
      <w:r w:rsidRPr="008A29F1">
        <w:rPr>
          <w:rFonts w:cs="Arial"/>
          <w:b/>
        </w:rPr>
        <w:t xml:space="preserve">: </w:t>
      </w:r>
      <w:r w:rsidR="001A50D9">
        <w:rPr>
          <w:rFonts w:cs="Arial"/>
          <w:b/>
        </w:rPr>
        <w:t>RAN2 considers the basic flow of selective SCG activation as</w:t>
      </w:r>
    </w:p>
    <w:p w14:paraId="27F9104C" w14:textId="7B2D82FB" w:rsidR="001A50D9" w:rsidRDefault="00F43183" w:rsidP="001A50D9">
      <w:pPr>
        <w:pStyle w:val="Doc-text2"/>
        <w:numPr>
          <w:ilvl w:val="0"/>
          <w:numId w:val="12"/>
        </w:numPr>
        <w:tabs>
          <w:tab w:val="left" w:pos="340"/>
        </w:tabs>
        <w:jc w:val="both"/>
        <w:rPr>
          <w:rFonts w:cs="Arial"/>
          <w:b/>
        </w:rPr>
      </w:pPr>
      <w:r>
        <w:rPr>
          <w:rFonts w:cs="Arial"/>
          <w:b/>
        </w:rPr>
        <w:t xml:space="preserve">The NW configure one or more candidate </w:t>
      </w:r>
      <w:proofErr w:type="spellStart"/>
      <w:r>
        <w:rPr>
          <w:rFonts w:cs="Arial"/>
          <w:b/>
        </w:rPr>
        <w:t>PSCell</w:t>
      </w:r>
      <w:proofErr w:type="spellEnd"/>
      <w:r>
        <w:rPr>
          <w:rFonts w:cs="Arial"/>
          <w:b/>
        </w:rPr>
        <w:t xml:space="preserve">. Each candidate </w:t>
      </w:r>
      <w:proofErr w:type="spellStart"/>
      <w:r>
        <w:rPr>
          <w:rFonts w:cs="Arial"/>
          <w:b/>
        </w:rPr>
        <w:t>PSCell</w:t>
      </w:r>
      <w:proofErr w:type="spellEnd"/>
      <w:r>
        <w:rPr>
          <w:rFonts w:cs="Arial"/>
          <w:b/>
        </w:rPr>
        <w:t xml:space="preserve"> is associated with some trigger condition and predefined reconfiguration</w:t>
      </w:r>
      <w:r w:rsidR="00164795">
        <w:rPr>
          <w:rFonts w:cs="Arial"/>
          <w:b/>
        </w:rPr>
        <w:t>.</w:t>
      </w:r>
    </w:p>
    <w:p w14:paraId="433424C4" w14:textId="683D1A84" w:rsidR="001A50D9" w:rsidRDefault="00F43183" w:rsidP="001A50D9">
      <w:pPr>
        <w:pStyle w:val="Doc-text2"/>
        <w:numPr>
          <w:ilvl w:val="0"/>
          <w:numId w:val="12"/>
        </w:numPr>
        <w:tabs>
          <w:tab w:val="left" w:pos="340"/>
        </w:tabs>
        <w:jc w:val="both"/>
        <w:rPr>
          <w:rFonts w:cs="Arial"/>
          <w:b/>
        </w:rPr>
      </w:pPr>
      <w:r>
        <w:rPr>
          <w:rFonts w:cs="Arial"/>
          <w:b/>
        </w:rPr>
        <w:t>Once the trigger condition is met, the UE perform SCG change based on the predefined reconfiguration</w:t>
      </w:r>
      <w:r w:rsidR="00164795">
        <w:rPr>
          <w:rFonts w:cs="Arial"/>
          <w:b/>
        </w:rPr>
        <w:t>. The UE keep all candidate configuration</w:t>
      </w:r>
      <w:r w:rsidR="00EA12FB">
        <w:rPr>
          <w:rFonts w:cs="Arial"/>
          <w:b/>
        </w:rPr>
        <w:t>s</w:t>
      </w:r>
      <w:r w:rsidR="00164795">
        <w:rPr>
          <w:rFonts w:cs="Arial"/>
          <w:b/>
        </w:rPr>
        <w:t xml:space="preserve"> after this SCG change.</w:t>
      </w:r>
    </w:p>
    <w:p w14:paraId="35092858" w14:textId="0FDE1BB5" w:rsidR="00F43183" w:rsidRDefault="00F43183" w:rsidP="00F4624C">
      <w:pPr>
        <w:pStyle w:val="Doc-text2"/>
        <w:numPr>
          <w:ilvl w:val="0"/>
          <w:numId w:val="12"/>
        </w:numPr>
        <w:tabs>
          <w:tab w:val="left" w:pos="340"/>
        </w:tabs>
        <w:jc w:val="both"/>
        <w:rPr>
          <w:rFonts w:cs="Arial"/>
          <w:b/>
        </w:rPr>
      </w:pPr>
      <w:r>
        <w:rPr>
          <w:rFonts w:cs="Arial"/>
          <w:b/>
        </w:rPr>
        <w:t>FFS on details of trigger condition</w:t>
      </w:r>
    </w:p>
    <w:p w14:paraId="2F6825D1" w14:textId="77C354D3" w:rsidR="001A50D9" w:rsidRPr="00F43183" w:rsidRDefault="00F43183" w:rsidP="00F43183">
      <w:pPr>
        <w:pStyle w:val="Doc-text2"/>
        <w:numPr>
          <w:ilvl w:val="0"/>
          <w:numId w:val="12"/>
        </w:numPr>
        <w:tabs>
          <w:tab w:val="left" w:pos="340"/>
        </w:tabs>
        <w:jc w:val="both"/>
        <w:rPr>
          <w:rFonts w:cs="Arial"/>
          <w:b/>
        </w:rPr>
      </w:pPr>
      <w:r>
        <w:rPr>
          <w:rFonts w:cs="Arial"/>
          <w:b/>
        </w:rPr>
        <w:t>FFS on how to model the predefined reconfiguration</w:t>
      </w:r>
    </w:p>
    <w:p w14:paraId="54B89A58" w14:textId="77777777" w:rsidR="00996E6A" w:rsidRDefault="00996E6A" w:rsidP="00EF20EF">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3FEBBDA3" w:rsidR="00DE28E0" w:rsidRDefault="00DE28E0" w:rsidP="00DE28E0">
      <w:pPr>
        <w:pStyle w:val="Doc-text2"/>
        <w:tabs>
          <w:tab w:val="left" w:pos="340"/>
        </w:tabs>
        <w:ind w:left="0" w:firstLine="0"/>
        <w:jc w:val="both"/>
        <w:rPr>
          <w:rFonts w:cs="Arial"/>
        </w:rPr>
      </w:pPr>
      <w:r>
        <w:rPr>
          <w:rFonts w:cs="Arial"/>
        </w:rPr>
        <w:t>Base</w:t>
      </w:r>
      <w:r w:rsidR="00386C92">
        <w:rPr>
          <w:rFonts w:cs="Arial"/>
        </w:rPr>
        <w:t>d</w:t>
      </w:r>
      <w:r>
        <w:rPr>
          <w:rFonts w:cs="Arial"/>
        </w:rPr>
        <w:t xml:space="preserve"> on the discussion in section 2, we propose the following</w:t>
      </w:r>
      <w:r w:rsidR="00AB1DC9">
        <w:rPr>
          <w:rFonts w:cs="Arial"/>
        </w:rPr>
        <w:t xml:space="preserve"> proposals</w:t>
      </w:r>
      <w:r>
        <w:rPr>
          <w:rFonts w:cs="Arial"/>
        </w:rPr>
        <w:t xml:space="preserve">: </w:t>
      </w:r>
    </w:p>
    <w:p w14:paraId="68173353" w14:textId="799C652B" w:rsidR="00F22944" w:rsidRDefault="00F22944" w:rsidP="00DE28E0">
      <w:pPr>
        <w:pStyle w:val="Doc-text2"/>
        <w:tabs>
          <w:tab w:val="left" w:pos="340"/>
        </w:tabs>
        <w:ind w:left="0" w:firstLine="0"/>
        <w:jc w:val="both"/>
        <w:rPr>
          <w:rFonts w:cs="Arial"/>
        </w:rPr>
      </w:pPr>
    </w:p>
    <w:p w14:paraId="260F1E25" w14:textId="77777777" w:rsidR="00BF43CC" w:rsidRPr="008A29F1" w:rsidRDefault="00BF43CC" w:rsidP="00BF43CC">
      <w:pPr>
        <w:pStyle w:val="Doc-text2"/>
        <w:tabs>
          <w:tab w:val="left" w:pos="340"/>
        </w:tabs>
        <w:ind w:left="0" w:firstLine="0"/>
        <w:jc w:val="both"/>
        <w:rPr>
          <w:rFonts w:cs="Arial"/>
          <w:b/>
        </w:rPr>
      </w:pPr>
      <w:r w:rsidRPr="008A29F1">
        <w:rPr>
          <w:rFonts w:cs="Arial"/>
          <w:b/>
        </w:rPr>
        <w:t xml:space="preserve">Proposal </w:t>
      </w:r>
      <w:r>
        <w:rPr>
          <w:rFonts w:cs="Arial"/>
          <w:b/>
        </w:rPr>
        <w:t>1</w:t>
      </w:r>
      <w:r w:rsidRPr="008A29F1">
        <w:rPr>
          <w:rFonts w:cs="Arial"/>
          <w:b/>
        </w:rPr>
        <w:t xml:space="preserve">: </w:t>
      </w:r>
      <w:r>
        <w:rPr>
          <w:rFonts w:cs="Arial"/>
          <w:b/>
        </w:rPr>
        <w:t>For</w:t>
      </w:r>
      <w:r w:rsidRPr="008A29F1">
        <w:rPr>
          <w:rFonts w:cs="Arial"/>
          <w:b/>
        </w:rPr>
        <w:t xml:space="preserve"> obj#</w:t>
      </w:r>
      <w:r>
        <w:rPr>
          <w:rFonts w:cs="Arial"/>
          <w:b/>
        </w:rPr>
        <w:t>2 in R18 mobility WI, RAN2 prioritizes the selective activation of cell groups for SCG.</w:t>
      </w:r>
    </w:p>
    <w:p w14:paraId="7FE21B67" w14:textId="20423721" w:rsidR="00F22944" w:rsidRDefault="00F22944" w:rsidP="00DE28E0">
      <w:pPr>
        <w:pStyle w:val="Doc-text2"/>
        <w:tabs>
          <w:tab w:val="left" w:pos="340"/>
        </w:tabs>
        <w:ind w:left="0" w:firstLine="0"/>
        <w:jc w:val="both"/>
        <w:rPr>
          <w:rFonts w:cs="Arial"/>
        </w:rPr>
      </w:pPr>
    </w:p>
    <w:p w14:paraId="2674E931" w14:textId="77777777" w:rsidR="00F12773" w:rsidRPr="00813669" w:rsidRDefault="00F12773" w:rsidP="00F12773">
      <w:pPr>
        <w:pStyle w:val="Doc-text2"/>
        <w:tabs>
          <w:tab w:val="left" w:pos="340"/>
        </w:tabs>
        <w:ind w:left="0" w:firstLine="0"/>
        <w:jc w:val="both"/>
        <w:rPr>
          <w:rFonts w:cs="Arial"/>
          <w:b/>
        </w:rPr>
      </w:pPr>
      <w:r w:rsidRPr="008A29F1">
        <w:rPr>
          <w:rFonts w:cs="Arial"/>
          <w:b/>
        </w:rPr>
        <w:t xml:space="preserve">Proposal </w:t>
      </w:r>
      <w:r>
        <w:rPr>
          <w:rFonts w:cs="Arial"/>
          <w:b/>
        </w:rPr>
        <w:t>2</w:t>
      </w:r>
      <w:r w:rsidRPr="008A29F1">
        <w:rPr>
          <w:rFonts w:cs="Arial"/>
          <w:b/>
        </w:rPr>
        <w:t xml:space="preserve">: </w:t>
      </w:r>
      <w:r>
        <w:rPr>
          <w:rFonts w:cs="Arial"/>
          <w:b/>
        </w:rPr>
        <w:t>RAN2 understands that selective activation of cell groups is triggered by pre-defined condition (CPC-like behavior).</w:t>
      </w:r>
    </w:p>
    <w:p w14:paraId="2749B871" w14:textId="1CB67DC5" w:rsidR="00F22944" w:rsidRDefault="00F22944" w:rsidP="00DE28E0">
      <w:pPr>
        <w:pStyle w:val="Doc-text2"/>
        <w:tabs>
          <w:tab w:val="left" w:pos="340"/>
        </w:tabs>
        <w:ind w:left="0" w:firstLine="0"/>
        <w:jc w:val="both"/>
        <w:rPr>
          <w:b/>
        </w:rPr>
      </w:pPr>
    </w:p>
    <w:p w14:paraId="063CEB66" w14:textId="77777777" w:rsidR="00EA12FB" w:rsidRDefault="00EA12FB" w:rsidP="00EA12FB">
      <w:pPr>
        <w:pStyle w:val="Doc-text2"/>
        <w:tabs>
          <w:tab w:val="left" w:pos="340"/>
        </w:tabs>
        <w:ind w:left="0" w:firstLine="0"/>
        <w:jc w:val="both"/>
        <w:rPr>
          <w:rFonts w:cs="Arial"/>
          <w:b/>
        </w:rPr>
      </w:pPr>
      <w:r w:rsidRPr="008A29F1">
        <w:rPr>
          <w:rFonts w:cs="Arial"/>
          <w:b/>
        </w:rPr>
        <w:t xml:space="preserve">Proposal </w:t>
      </w:r>
      <w:r>
        <w:rPr>
          <w:rFonts w:cs="Arial"/>
          <w:b/>
        </w:rPr>
        <w:t>3</w:t>
      </w:r>
      <w:r w:rsidRPr="008A29F1">
        <w:rPr>
          <w:rFonts w:cs="Arial"/>
          <w:b/>
        </w:rPr>
        <w:t xml:space="preserve">: </w:t>
      </w:r>
      <w:r>
        <w:rPr>
          <w:rFonts w:cs="Arial"/>
          <w:b/>
        </w:rPr>
        <w:t>RAN2 considers the basic flow of selective SCG activation as</w:t>
      </w:r>
    </w:p>
    <w:p w14:paraId="6A1F5BE7" w14:textId="77777777" w:rsidR="00EA12FB" w:rsidRDefault="00EA12FB" w:rsidP="00EA12FB">
      <w:pPr>
        <w:pStyle w:val="Doc-text2"/>
        <w:numPr>
          <w:ilvl w:val="0"/>
          <w:numId w:val="12"/>
        </w:numPr>
        <w:tabs>
          <w:tab w:val="left" w:pos="340"/>
        </w:tabs>
        <w:jc w:val="both"/>
        <w:rPr>
          <w:rFonts w:cs="Arial"/>
          <w:b/>
        </w:rPr>
      </w:pPr>
      <w:r>
        <w:rPr>
          <w:rFonts w:cs="Arial"/>
          <w:b/>
        </w:rPr>
        <w:t xml:space="preserve">The NW configure one or more candidate </w:t>
      </w:r>
      <w:proofErr w:type="spellStart"/>
      <w:r>
        <w:rPr>
          <w:rFonts w:cs="Arial"/>
          <w:b/>
        </w:rPr>
        <w:t>PSCell</w:t>
      </w:r>
      <w:proofErr w:type="spellEnd"/>
      <w:r>
        <w:rPr>
          <w:rFonts w:cs="Arial"/>
          <w:b/>
        </w:rPr>
        <w:t xml:space="preserve">. Each candidate </w:t>
      </w:r>
      <w:proofErr w:type="spellStart"/>
      <w:r>
        <w:rPr>
          <w:rFonts w:cs="Arial"/>
          <w:b/>
        </w:rPr>
        <w:t>PSCell</w:t>
      </w:r>
      <w:proofErr w:type="spellEnd"/>
      <w:r>
        <w:rPr>
          <w:rFonts w:cs="Arial"/>
          <w:b/>
        </w:rPr>
        <w:t xml:space="preserve"> is associated with some trigger condition and predefined reconfiguration.</w:t>
      </w:r>
    </w:p>
    <w:p w14:paraId="5015A16E" w14:textId="77777777" w:rsidR="00EA12FB" w:rsidRDefault="00EA12FB" w:rsidP="00EA12FB">
      <w:pPr>
        <w:pStyle w:val="Doc-text2"/>
        <w:numPr>
          <w:ilvl w:val="0"/>
          <w:numId w:val="12"/>
        </w:numPr>
        <w:tabs>
          <w:tab w:val="left" w:pos="340"/>
        </w:tabs>
        <w:jc w:val="both"/>
        <w:rPr>
          <w:rFonts w:cs="Arial"/>
          <w:b/>
        </w:rPr>
      </w:pPr>
      <w:r>
        <w:rPr>
          <w:rFonts w:cs="Arial"/>
          <w:b/>
        </w:rPr>
        <w:t>Once the trigger condition is met, the UE perform SCG change based on the predefined reconfiguration. The UE keep all candidate configurations after this SCG change.</w:t>
      </w:r>
    </w:p>
    <w:p w14:paraId="68DEE41B" w14:textId="77777777" w:rsidR="00EA12FB" w:rsidRDefault="00EA12FB" w:rsidP="00EA12FB">
      <w:pPr>
        <w:pStyle w:val="Doc-text2"/>
        <w:numPr>
          <w:ilvl w:val="0"/>
          <w:numId w:val="12"/>
        </w:numPr>
        <w:tabs>
          <w:tab w:val="left" w:pos="340"/>
        </w:tabs>
        <w:jc w:val="both"/>
        <w:rPr>
          <w:rFonts w:cs="Arial"/>
          <w:b/>
        </w:rPr>
      </w:pPr>
      <w:r>
        <w:rPr>
          <w:rFonts w:cs="Arial"/>
          <w:b/>
        </w:rPr>
        <w:t>FFS on details of trigger condition</w:t>
      </w:r>
    </w:p>
    <w:p w14:paraId="49E1D645" w14:textId="77777777" w:rsidR="00EA12FB" w:rsidRPr="00F43183" w:rsidRDefault="00EA12FB" w:rsidP="00EA12FB">
      <w:pPr>
        <w:pStyle w:val="Doc-text2"/>
        <w:numPr>
          <w:ilvl w:val="0"/>
          <w:numId w:val="12"/>
        </w:numPr>
        <w:tabs>
          <w:tab w:val="left" w:pos="340"/>
        </w:tabs>
        <w:jc w:val="both"/>
        <w:rPr>
          <w:rFonts w:cs="Arial"/>
          <w:b/>
        </w:rPr>
      </w:pPr>
      <w:r>
        <w:rPr>
          <w:rFonts w:cs="Arial"/>
          <w:b/>
        </w:rPr>
        <w:t>FFS on how to model the predefined reconfiguration</w:t>
      </w:r>
    </w:p>
    <w:p w14:paraId="2003BCB8" w14:textId="77777777" w:rsidR="00F12773" w:rsidRDefault="00F12773" w:rsidP="00DE28E0">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2A4D58AE"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1D3C85" w:rsidRPr="001D3C85">
        <w:rPr>
          <w:rFonts w:ascii="Arial" w:hAnsi="Arial" w:cs="Arial"/>
          <w:lang w:eastAsia="ko-KR"/>
        </w:rPr>
        <w:t>RP-221799</w:t>
      </w:r>
      <w:r w:rsidR="001D3C85">
        <w:rPr>
          <w:rFonts w:ascii="Arial" w:hAnsi="Arial" w:cs="Arial"/>
          <w:lang w:eastAsia="ko-KR"/>
        </w:rPr>
        <w:t>, “</w:t>
      </w:r>
      <w:r w:rsidR="001D3C85" w:rsidRPr="001D3C85">
        <w:rPr>
          <w:rFonts w:ascii="Arial" w:hAnsi="Arial" w:cs="Arial"/>
          <w:lang w:eastAsia="ko-KR"/>
        </w:rPr>
        <w:t>Revised WID on Further NR mobility enhancements</w:t>
      </w:r>
      <w:r w:rsidR="001D3C85">
        <w:rPr>
          <w:rFonts w:ascii="Arial" w:hAnsi="Arial" w:cs="Arial"/>
          <w:lang w:eastAsia="ko-KR"/>
        </w:rPr>
        <w:t>”</w:t>
      </w:r>
      <w:r w:rsidR="00707C97">
        <w:rPr>
          <w:rFonts w:ascii="Arial" w:hAnsi="Arial" w:cs="Arial"/>
          <w:lang w:eastAsia="ko-KR"/>
        </w:rPr>
        <w:t>, MediaTek</w:t>
      </w:r>
    </w:p>
    <w:p w14:paraId="410B819F" w14:textId="1125B153" w:rsidR="00CA4282" w:rsidRDefault="00CA4282">
      <w:pPr>
        <w:spacing w:after="0"/>
        <w:rPr>
          <w:rFonts w:ascii="Arial" w:hAnsi="Arial" w:cs="Arial"/>
          <w:lang w:eastAsia="ko-KR"/>
        </w:rPr>
      </w:pPr>
    </w:p>
    <w:p w14:paraId="6DF1E01B" w14:textId="77777777" w:rsidR="00CA4282" w:rsidRDefault="00CA4282" w:rsidP="00CA4282">
      <w:pPr>
        <w:spacing w:after="0"/>
        <w:rPr>
          <w:rFonts w:ascii="Arial" w:hAnsi="Arial" w:cs="Arial"/>
          <w:lang w:eastAsia="ko-KR"/>
        </w:rPr>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2BB5" w14:textId="77777777" w:rsidR="00D973B0" w:rsidRDefault="00D973B0">
      <w:r>
        <w:separator/>
      </w:r>
    </w:p>
  </w:endnote>
  <w:endnote w:type="continuationSeparator" w:id="0">
    <w:p w14:paraId="6B7408ED" w14:textId="77777777" w:rsidR="00D973B0" w:rsidRDefault="00D9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31C8" w14:textId="77777777" w:rsidR="00D973B0" w:rsidRDefault="00D973B0">
      <w:r>
        <w:separator/>
      </w:r>
    </w:p>
  </w:footnote>
  <w:footnote w:type="continuationSeparator" w:id="0">
    <w:p w14:paraId="3CD8D4FB" w14:textId="77777777" w:rsidR="00D973B0" w:rsidRDefault="00D97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8F23C5D"/>
    <w:multiLevelType w:val="hybridMultilevel"/>
    <w:tmpl w:val="FD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36112F0"/>
    <w:multiLevelType w:val="hybridMultilevel"/>
    <w:tmpl w:val="82DA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403C4"/>
    <w:multiLevelType w:val="hybridMultilevel"/>
    <w:tmpl w:val="8D1CE9C6"/>
    <w:lvl w:ilvl="0" w:tplc="40C2DFF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6BA730D2"/>
    <w:multiLevelType w:val="hybridMultilevel"/>
    <w:tmpl w:val="60B44D6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3"/>
  </w:num>
  <w:num w:numId="3">
    <w:abstractNumId w:val="5"/>
  </w:num>
  <w:num w:numId="4">
    <w:abstractNumId w:val="8"/>
  </w:num>
  <w:num w:numId="5">
    <w:abstractNumId w:val="11"/>
  </w:num>
  <w:num w:numId="6">
    <w:abstractNumId w:val="7"/>
  </w:num>
  <w:num w:numId="7">
    <w:abstractNumId w:val="0"/>
  </w:num>
  <w:num w:numId="8">
    <w:abstractNumId w:val="9"/>
  </w:num>
  <w:num w:numId="9">
    <w:abstractNumId w:val="6"/>
  </w:num>
  <w:num w:numId="10">
    <w:abstractNumId w:val="10"/>
  </w:num>
  <w:num w:numId="11">
    <w:abstractNumId w:val="4"/>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78B"/>
    <w:rsid w:val="00075128"/>
    <w:rsid w:val="000758A5"/>
    <w:rsid w:val="00075F67"/>
    <w:rsid w:val="00076D65"/>
    <w:rsid w:val="00077746"/>
    <w:rsid w:val="0008019C"/>
    <w:rsid w:val="00080B67"/>
    <w:rsid w:val="00081385"/>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FAD"/>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169"/>
    <w:rsid w:val="000F0675"/>
    <w:rsid w:val="000F1B05"/>
    <w:rsid w:val="000F219A"/>
    <w:rsid w:val="000F2FFF"/>
    <w:rsid w:val="000F339D"/>
    <w:rsid w:val="000F411B"/>
    <w:rsid w:val="000F42A7"/>
    <w:rsid w:val="000F467F"/>
    <w:rsid w:val="000F4EC7"/>
    <w:rsid w:val="000F51F6"/>
    <w:rsid w:val="000F53AA"/>
    <w:rsid w:val="000F5DEC"/>
    <w:rsid w:val="000F646E"/>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526"/>
    <w:rsid w:val="00131DAB"/>
    <w:rsid w:val="00131DF4"/>
    <w:rsid w:val="0013385F"/>
    <w:rsid w:val="00134D49"/>
    <w:rsid w:val="00135CB5"/>
    <w:rsid w:val="00136A8A"/>
    <w:rsid w:val="001377DB"/>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4795"/>
    <w:rsid w:val="00165CDA"/>
    <w:rsid w:val="0016697A"/>
    <w:rsid w:val="00167588"/>
    <w:rsid w:val="00167FC4"/>
    <w:rsid w:val="0017209C"/>
    <w:rsid w:val="00172CB7"/>
    <w:rsid w:val="00172F10"/>
    <w:rsid w:val="0017303A"/>
    <w:rsid w:val="00173344"/>
    <w:rsid w:val="00173394"/>
    <w:rsid w:val="00174433"/>
    <w:rsid w:val="00175119"/>
    <w:rsid w:val="0017549F"/>
    <w:rsid w:val="00175528"/>
    <w:rsid w:val="001757E5"/>
    <w:rsid w:val="00175C44"/>
    <w:rsid w:val="00176899"/>
    <w:rsid w:val="00176D07"/>
    <w:rsid w:val="00177CD7"/>
    <w:rsid w:val="0018056E"/>
    <w:rsid w:val="00183903"/>
    <w:rsid w:val="00183E20"/>
    <w:rsid w:val="00184151"/>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0D9"/>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22C3"/>
    <w:rsid w:val="001C319F"/>
    <w:rsid w:val="001C38B1"/>
    <w:rsid w:val="001C4139"/>
    <w:rsid w:val="001C4279"/>
    <w:rsid w:val="001C44F7"/>
    <w:rsid w:val="001C5548"/>
    <w:rsid w:val="001C56C4"/>
    <w:rsid w:val="001C67F5"/>
    <w:rsid w:val="001D1285"/>
    <w:rsid w:val="001D14B9"/>
    <w:rsid w:val="001D1750"/>
    <w:rsid w:val="001D18C0"/>
    <w:rsid w:val="001D1C03"/>
    <w:rsid w:val="001D1C14"/>
    <w:rsid w:val="001D25F5"/>
    <w:rsid w:val="001D336B"/>
    <w:rsid w:val="001D3B68"/>
    <w:rsid w:val="001D3C85"/>
    <w:rsid w:val="001D4138"/>
    <w:rsid w:val="001D4B18"/>
    <w:rsid w:val="001D628D"/>
    <w:rsid w:val="001D7771"/>
    <w:rsid w:val="001D7A4B"/>
    <w:rsid w:val="001E133F"/>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8D0"/>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4D35"/>
    <w:rsid w:val="00215043"/>
    <w:rsid w:val="0021549E"/>
    <w:rsid w:val="00215655"/>
    <w:rsid w:val="00215C93"/>
    <w:rsid w:val="00215D11"/>
    <w:rsid w:val="00216149"/>
    <w:rsid w:val="00216A95"/>
    <w:rsid w:val="00216F07"/>
    <w:rsid w:val="00217BE6"/>
    <w:rsid w:val="00217ED3"/>
    <w:rsid w:val="00220452"/>
    <w:rsid w:val="00220B0C"/>
    <w:rsid w:val="00220BD4"/>
    <w:rsid w:val="00220CA2"/>
    <w:rsid w:val="00220EB7"/>
    <w:rsid w:val="0022136D"/>
    <w:rsid w:val="002220BB"/>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264"/>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D58"/>
    <w:rsid w:val="002F71C4"/>
    <w:rsid w:val="002F7598"/>
    <w:rsid w:val="002F787B"/>
    <w:rsid w:val="002F7B80"/>
    <w:rsid w:val="00301CF4"/>
    <w:rsid w:val="00302B4C"/>
    <w:rsid w:val="00302D1E"/>
    <w:rsid w:val="003030DF"/>
    <w:rsid w:val="00304023"/>
    <w:rsid w:val="00304FA9"/>
    <w:rsid w:val="0030580E"/>
    <w:rsid w:val="0030786C"/>
    <w:rsid w:val="00310108"/>
    <w:rsid w:val="00310796"/>
    <w:rsid w:val="00310A51"/>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56F32"/>
    <w:rsid w:val="0036039F"/>
    <w:rsid w:val="003606F5"/>
    <w:rsid w:val="00360916"/>
    <w:rsid w:val="0036262E"/>
    <w:rsid w:val="00362EE8"/>
    <w:rsid w:val="00363051"/>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817"/>
    <w:rsid w:val="00384A50"/>
    <w:rsid w:val="00384BE4"/>
    <w:rsid w:val="00385B91"/>
    <w:rsid w:val="0038629A"/>
    <w:rsid w:val="003866C0"/>
    <w:rsid w:val="00386997"/>
    <w:rsid w:val="00386C92"/>
    <w:rsid w:val="003870FB"/>
    <w:rsid w:val="00387128"/>
    <w:rsid w:val="00390064"/>
    <w:rsid w:val="00390114"/>
    <w:rsid w:val="003907A6"/>
    <w:rsid w:val="00390967"/>
    <w:rsid w:val="00391023"/>
    <w:rsid w:val="003910EE"/>
    <w:rsid w:val="003910F4"/>
    <w:rsid w:val="0039161B"/>
    <w:rsid w:val="003924C9"/>
    <w:rsid w:val="00392B2F"/>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A1D"/>
    <w:rsid w:val="00421E34"/>
    <w:rsid w:val="00424C72"/>
    <w:rsid w:val="00424EC4"/>
    <w:rsid w:val="00425162"/>
    <w:rsid w:val="0042548D"/>
    <w:rsid w:val="00425DF5"/>
    <w:rsid w:val="00425EC2"/>
    <w:rsid w:val="0042609B"/>
    <w:rsid w:val="004262F6"/>
    <w:rsid w:val="00426C33"/>
    <w:rsid w:val="0042738B"/>
    <w:rsid w:val="0042773E"/>
    <w:rsid w:val="00427BA2"/>
    <w:rsid w:val="00431A0E"/>
    <w:rsid w:val="00431C59"/>
    <w:rsid w:val="0043200D"/>
    <w:rsid w:val="0043454C"/>
    <w:rsid w:val="0043576A"/>
    <w:rsid w:val="004371D8"/>
    <w:rsid w:val="004406BC"/>
    <w:rsid w:val="004423FA"/>
    <w:rsid w:val="004435E2"/>
    <w:rsid w:val="00444939"/>
    <w:rsid w:val="00444E7E"/>
    <w:rsid w:val="00446A61"/>
    <w:rsid w:val="00446BC2"/>
    <w:rsid w:val="00447317"/>
    <w:rsid w:val="00447436"/>
    <w:rsid w:val="00450FCD"/>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10F"/>
    <w:rsid w:val="00462140"/>
    <w:rsid w:val="00462400"/>
    <w:rsid w:val="004633C5"/>
    <w:rsid w:val="004635C3"/>
    <w:rsid w:val="004636E9"/>
    <w:rsid w:val="00463BBF"/>
    <w:rsid w:val="00464A90"/>
    <w:rsid w:val="00465089"/>
    <w:rsid w:val="00465135"/>
    <w:rsid w:val="004655D7"/>
    <w:rsid w:val="004656DF"/>
    <w:rsid w:val="004657B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3D"/>
    <w:rsid w:val="004B1DE1"/>
    <w:rsid w:val="004B253E"/>
    <w:rsid w:val="004B3131"/>
    <w:rsid w:val="004B55FC"/>
    <w:rsid w:val="004B66E4"/>
    <w:rsid w:val="004B7396"/>
    <w:rsid w:val="004B773B"/>
    <w:rsid w:val="004B7810"/>
    <w:rsid w:val="004B7BB4"/>
    <w:rsid w:val="004C08D5"/>
    <w:rsid w:val="004C1035"/>
    <w:rsid w:val="004C18D2"/>
    <w:rsid w:val="004C19F0"/>
    <w:rsid w:val="004C2583"/>
    <w:rsid w:val="004C2FD4"/>
    <w:rsid w:val="004C36F7"/>
    <w:rsid w:val="004C38AE"/>
    <w:rsid w:val="004C54F1"/>
    <w:rsid w:val="004C583D"/>
    <w:rsid w:val="004C5DB0"/>
    <w:rsid w:val="004C6034"/>
    <w:rsid w:val="004D011F"/>
    <w:rsid w:val="004D0A72"/>
    <w:rsid w:val="004D2685"/>
    <w:rsid w:val="004D3139"/>
    <w:rsid w:val="004D3853"/>
    <w:rsid w:val="004D3DCD"/>
    <w:rsid w:val="004D46DE"/>
    <w:rsid w:val="004D56B7"/>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0D65"/>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35E"/>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57E6C"/>
    <w:rsid w:val="00560743"/>
    <w:rsid w:val="005611A0"/>
    <w:rsid w:val="00561978"/>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E3E"/>
    <w:rsid w:val="0057033F"/>
    <w:rsid w:val="0057040C"/>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BAB"/>
    <w:rsid w:val="005B4013"/>
    <w:rsid w:val="005B460E"/>
    <w:rsid w:val="005B56ED"/>
    <w:rsid w:val="005B577A"/>
    <w:rsid w:val="005B58B9"/>
    <w:rsid w:val="005B6C54"/>
    <w:rsid w:val="005B72F3"/>
    <w:rsid w:val="005C088D"/>
    <w:rsid w:val="005C08C6"/>
    <w:rsid w:val="005C0A93"/>
    <w:rsid w:val="005C0C68"/>
    <w:rsid w:val="005C1058"/>
    <w:rsid w:val="005C1199"/>
    <w:rsid w:val="005C1F63"/>
    <w:rsid w:val="005C21A4"/>
    <w:rsid w:val="005C243C"/>
    <w:rsid w:val="005C2494"/>
    <w:rsid w:val="005C2A3A"/>
    <w:rsid w:val="005C2BE5"/>
    <w:rsid w:val="005C3135"/>
    <w:rsid w:val="005C33A5"/>
    <w:rsid w:val="005C3BA3"/>
    <w:rsid w:val="005C3CFA"/>
    <w:rsid w:val="005C4361"/>
    <w:rsid w:val="005C4B7A"/>
    <w:rsid w:val="005C4EC7"/>
    <w:rsid w:val="005C5936"/>
    <w:rsid w:val="005C5A20"/>
    <w:rsid w:val="005C5AE6"/>
    <w:rsid w:val="005C627E"/>
    <w:rsid w:val="005C650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5C37"/>
    <w:rsid w:val="005E70F4"/>
    <w:rsid w:val="005F0898"/>
    <w:rsid w:val="005F0B6C"/>
    <w:rsid w:val="005F138D"/>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59"/>
    <w:rsid w:val="00610E88"/>
    <w:rsid w:val="006118D8"/>
    <w:rsid w:val="00612485"/>
    <w:rsid w:val="0061330A"/>
    <w:rsid w:val="0061378A"/>
    <w:rsid w:val="006138DE"/>
    <w:rsid w:val="00613F3C"/>
    <w:rsid w:val="006144FA"/>
    <w:rsid w:val="00615333"/>
    <w:rsid w:val="006174BE"/>
    <w:rsid w:val="006202B1"/>
    <w:rsid w:val="006210F8"/>
    <w:rsid w:val="006214DC"/>
    <w:rsid w:val="006215FC"/>
    <w:rsid w:val="00622951"/>
    <w:rsid w:val="006232F8"/>
    <w:rsid w:val="00623BE2"/>
    <w:rsid w:val="00623C49"/>
    <w:rsid w:val="0062404D"/>
    <w:rsid w:val="0062426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0D36"/>
    <w:rsid w:val="006D1707"/>
    <w:rsid w:val="006D1AAA"/>
    <w:rsid w:val="006D2E78"/>
    <w:rsid w:val="006D33C5"/>
    <w:rsid w:val="006D3600"/>
    <w:rsid w:val="006D39E8"/>
    <w:rsid w:val="006D4EF9"/>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C97"/>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080"/>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7C4"/>
    <w:rsid w:val="0079142E"/>
    <w:rsid w:val="007917A1"/>
    <w:rsid w:val="00791A92"/>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8CD"/>
    <w:rsid w:val="007A1A3C"/>
    <w:rsid w:val="007A2029"/>
    <w:rsid w:val="007A205B"/>
    <w:rsid w:val="007A2327"/>
    <w:rsid w:val="007A252E"/>
    <w:rsid w:val="007A432C"/>
    <w:rsid w:val="007A535B"/>
    <w:rsid w:val="007A609C"/>
    <w:rsid w:val="007A725E"/>
    <w:rsid w:val="007B0E19"/>
    <w:rsid w:val="007B177D"/>
    <w:rsid w:val="007B18B8"/>
    <w:rsid w:val="007B21AA"/>
    <w:rsid w:val="007B2308"/>
    <w:rsid w:val="007B245D"/>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2BB"/>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32B"/>
    <w:rsid w:val="008135C8"/>
    <w:rsid w:val="00813669"/>
    <w:rsid w:val="00813D6A"/>
    <w:rsid w:val="00813E00"/>
    <w:rsid w:val="00814BD5"/>
    <w:rsid w:val="008151B9"/>
    <w:rsid w:val="008151D9"/>
    <w:rsid w:val="00815868"/>
    <w:rsid w:val="00815D2E"/>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901"/>
    <w:rsid w:val="00863A77"/>
    <w:rsid w:val="00863E2B"/>
    <w:rsid w:val="00864A89"/>
    <w:rsid w:val="00864B5D"/>
    <w:rsid w:val="00864C6C"/>
    <w:rsid w:val="00864CBB"/>
    <w:rsid w:val="008653D7"/>
    <w:rsid w:val="008656F8"/>
    <w:rsid w:val="008660F4"/>
    <w:rsid w:val="00866426"/>
    <w:rsid w:val="00866B5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34F8"/>
    <w:rsid w:val="0090421A"/>
    <w:rsid w:val="00905360"/>
    <w:rsid w:val="009055E4"/>
    <w:rsid w:val="00905612"/>
    <w:rsid w:val="00905D3F"/>
    <w:rsid w:val="00905DFC"/>
    <w:rsid w:val="00906875"/>
    <w:rsid w:val="009069B3"/>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5B9"/>
    <w:rsid w:val="00916BBB"/>
    <w:rsid w:val="00917018"/>
    <w:rsid w:val="00917F86"/>
    <w:rsid w:val="0092057E"/>
    <w:rsid w:val="00920616"/>
    <w:rsid w:val="00920665"/>
    <w:rsid w:val="0092102A"/>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28C"/>
    <w:rsid w:val="00933E40"/>
    <w:rsid w:val="00934310"/>
    <w:rsid w:val="00934550"/>
    <w:rsid w:val="00934C87"/>
    <w:rsid w:val="00935DCB"/>
    <w:rsid w:val="009364A6"/>
    <w:rsid w:val="00937253"/>
    <w:rsid w:val="00940228"/>
    <w:rsid w:val="0094028F"/>
    <w:rsid w:val="0094120A"/>
    <w:rsid w:val="00941428"/>
    <w:rsid w:val="00941704"/>
    <w:rsid w:val="00941D27"/>
    <w:rsid w:val="00941EB7"/>
    <w:rsid w:val="00942745"/>
    <w:rsid w:val="009439B3"/>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AAD"/>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C77"/>
    <w:rsid w:val="009D4E60"/>
    <w:rsid w:val="009D5061"/>
    <w:rsid w:val="009D5235"/>
    <w:rsid w:val="009D5252"/>
    <w:rsid w:val="009D5A35"/>
    <w:rsid w:val="009D6A02"/>
    <w:rsid w:val="009D72C5"/>
    <w:rsid w:val="009D739B"/>
    <w:rsid w:val="009D768F"/>
    <w:rsid w:val="009D7FE4"/>
    <w:rsid w:val="009E0B8D"/>
    <w:rsid w:val="009E1B32"/>
    <w:rsid w:val="009E2478"/>
    <w:rsid w:val="009E2AE1"/>
    <w:rsid w:val="009E3297"/>
    <w:rsid w:val="009E33A6"/>
    <w:rsid w:val="009E36B0"/>
    <w:rsid w:val="009E3CDD"/>
    <w:rsid w:val="009E5640"/>
    <w:rsid w:val="009E6660"/>
    <w:rsid w:val="009F0767"/>
    <w:rsid w:val="009F0805"/>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3D0"/>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7BF"/>
    <w:rsid w:val="00A27B4C"/>
    <w:rsid w:val="00A27E0E"/>
    <w:rsid w:val="00A27FF8"/>
    <w:rsid w:val="00A3075D"/>
    <w:rsid w:val="00A31C23"/>
    <w:rsid w:val="00A31D94"/>
    <w:rsid w:val="00A31F3F"/>
    <w:rsid w:val="00A32F5D"/>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479"/>
    <w:rsid w:val="00A65522"/>
    <w:rsid w:val="00A6596D"/>
    <w:rsid w:val="00A65C34"/>
    <w:rsid w:val="00A667C2"/>
    <w:rsid w:val="00A66CCF"/>
    <w:rsid w:val="00A675CB"/>
    <w:rsid w:val="00A67722"/>
    <w:rsid w:val="00A67C1C"/>
    <w:rsid w:val="00A7006D"/>
    <w:rsid w:val="00A70CAA"/>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0D17"/>
    <w:rsid w:val="00AB0EB8"/>
    <w:rsid w:val="00AB1A31"/>
    <w:rsid w:val="00AB1DC9"/>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3D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59F"/>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6A4"/>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47F"/>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071"/>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6D8"/>
    <w:rsid w:val="00B67776"/>
    <w:rsid w:val="00B67A26"/>
    <w:rsid w:val="00B701DA"/>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1D8D"/>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69A7"/>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425"/>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3CC"/>
    <w:rsid w:val="00BF53F9"/>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172B0"/>
    <w:rsid w:val="00C201A5"/>
    <w:rsid w:val="00C20383"/>
    <w:rsid w:val="00C2068A"/>
    <w:rsid w:val="00C215F4"/>
    <w:rsid w:val="00C21DEF"/>
    <w:rsid w:val="00C22FA8"/>
    <w:rsid w:val="00C23190"/>
    <w:rsid w:val="00C237E6"/>
    <w:rsid w:val="00C23976"/>
    <w:rsid w:val="00C23EE7"/>
    <w:rsid w:val="00C24266"/>
    <w:rsid w:val="00C2428F"/>
    <w:rsid w:val="00C24F55"/>
    <w:rsid w:val="00C251A0"/>
    <w:rsid w:val="00C26595"/>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39"/>
    <w:rsid w:val="00CA236B"/>
    <w:rsid w:val="00CA2EA4"/>
    <w:rsid w:val="00CA2F11"/>
    <w:rsid w:val="00CA36CF"/>
    <w:rsid w:val="00CA4282"/>
    <w:rsid w:val="00CA4383"/>
    <w:rsid w:val="00CA47C2"/>
    <w:rsid w:val="00CA4A6B"/>
    <w:rsid w:val="00CB0289"/>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684"/>
    <w:rsid w:val="00CD182F"/>
    <w:rsid w:val="00CD1848"/>
    <w:rsid w:val="00CD1E45"/>
    <w:rsid w:val="00CD242A"/>
    <w:rsid w:val="00CD2658"/>
    <w:rsid w:val="00CD54BF"/>
    <w:rsid w:val="00CD5BB5"/>
    <w:rsid w:val="00CD5D14"/>
    <w:rsid w:val="00CD5E10"/>
    <w:rsid w:val="00CD6564"/>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DF9"/>
    <w:rsid w:val="00D077F9"/>
    <w:rsid w:val="00D07D8D"/>
    <w:rsid w:val="00D07E7A"/>
    <w:rsid w:val="00D10992"/>
    <w:rsid w:val="00D11264"/>
    <w:rsid w:val="00D112C4"/>
    <w:rsid w:val="00D114E0"/>
    <w:rsid w:val="00D1177B"/>
    <w:rsid w:val="00D11B2A"/>
    <w:rsid w:val="00D11D7C"/>
    <w:rsid w:val="00D123E9"/>
    <w:rsid w:val="00D12B87"/>
    <w:rsid w:val="00D15012"/>
    <w:rsid w:val="00D15861"/>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07B"/>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87B11"/>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3B0"/>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667"/>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61C"/>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4827"/>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8BA"/>
    <w:rsid w:val="00E96CD1"/>
    <w:rsid w:val="00E96E05"/>
    <w:rsid w:val="00E9799C"/>
    <w:rsid w:val="00EA0DAE"/>
    <w:rsid w:val="00EA12FB"/>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2992"/>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EF7DA8"/>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2773"/>
    <w:rsid w:val="00F132F5"/>
    <w:rsid w:val="00F13C7F"/>
    <w:rsid w:val="00F14740"/>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944"/>
    <w:rsid w:val="00F236E6"/>
    <w:rsid w:val="00F24283"/>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A08"/>
    <w:rsid w:val="00F340CF"/>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3183"/>
    <w:rsid w:val="00F44DCD"/>
    <w:rsid w:val="00F4624C"/>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5EC"/>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276"/>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94644520">
      <w:bodyDiv w:val="1"/>
      <w:marLeft w:val="0"/>
      <w:marRight w:val="0"/>
      <w:marTop w:val="0"/>
      <w:marBottom w:val="0"/>
      <w:divBdr>
        <w:top w:val="none" w:sz="0" w:space="0" w:color="auto"/>
        <w:left w:val="none" w:sz="0" w:space="0" w:color="auto"/>
        <w:bottom w:val="none" w:sz="0" w:space="0" w:color="auto"/>
        <w:right w:val="none" w:sz="0" w:space="0" w:color="auto"/>
      </w:divBdr>
      <w:divsChild>
        <w:div w:id="2110005215">
          <w:marLeft w:val="1699"/>
          <w:marRight w:val="0"/>
          <w:marTop w:val="120"/>
          <w:marBottom w:val="0"/>
          <w:divBdr>
            <w:top w:val="none" w:sz="0" w:space="0" w:color="auto"/>
            <w:left w:val="none" w:sz="0" w:space="0" w:color="auto"/>
            <w:bottom w:val="none" w:sz="0" w:space="0" w:color="auto"/>
            <w:right w:val="none" w:sz="0" w:space="0" w:color="auto"/>
          </w:divBdr>
        </w:div>
        <w:div w:id="1527407154">
          <w:marLeft w:val="1699"/>
          <w:marRight w:val="0"/>
          <w:marTop w:val="120"/>
          <w:marBottom w:val="0"/>
          <w:divBdr>
            <w:top w:val="none" w:sz="0" w:space="0" w:color="auto"/>
            <w:left w:val="none" w:sz="0" w:space="0" w:color="auto"/>
            <w:bottom w:val="none" w:sz="0" w:space="0" w:color="auto"/>
            <w:right w:val="none" w:sz="0" w:space="0" w:color="auto"/>
          </w:divBdr>
        </w:div>
      </w:divsChild>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1</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176</cp:revision>
  <dcterms:created xsi:type="dcterms:W3CDTF">2017-04-13T02:23:00Z</dcterms:created>
  <dcterms:modified xsi:type="dcterms:W3CDTF">2022-08-10T06:25:00Z</dcterms:modified>
</cp:coreProperties>
</file>